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26DA2" w14:textId="2E0B130A" w:rsidR="00FD439F" w:rsidRDefault="00FD439F" w:rsidP="00FD439F">
      <w:pPr>
        <w:pStyle w:val="wordsection1"/>
        <w:spacing w:before="0" w:beforeAutospacing="0" w:after="240" w:afterAutospacing="0"/>
        <w:jc w:val="center"/>
        <w:rPr>
          <w:rFonts w:ascii="Arial" w:hAnsi="Arial" w:cs="Arial"/>
          <w:color w:val="000000" w:themeColor="text1"/>
          <w:sz w:val="20"/>
          <w:szCs w:val="20"/>
        </w:rPr>
      </w:pPr>
      <w:bookmarkStart w:id="0" w:name="_Hlk9552160"/>
      <w:r w:rsidRPr="00D41017">
        <w:rPr>
          <w:rFonts w:ascii="Arial" w:hAnsi="Arial" w:cs="Arial"/>
          <w:bCs/>
          <w:color w:val="000000" w:themeColor="text1"/>
          <w:sz w:val="20"/>
          <w:szCs w:val="20"/>
        </w:rPr>
        <w:t>POSTANOWIENIA DODATKOWE I ODMIENNE OD OGÓLNYCH WARUNKÓW UBEZPIECZENIA</w:t>
      </w:r>
      <w:r w:rsidR="00994D28" w:rsidRPr="00D41017">
        <w:rPr>
          <w:rFonts w:ascii="Arial" w:hAnsi="Arial" w:cs="Arial"/>
          <w:bCs/>
          <w:color w:val="000000" w:themeColor="text1"/>
          <w:sz w:val="20"/>
          <w:szCs w:val="20"/>
        </w:rPr>
        <w:br/>
      </w:r>
      <w:r w:rsidRPr="00D41017">
        <w:rPr>
          <w:rFonts w:ascii="Arial" w:hAnsi="Arial" w:cs="Arial"/>
          <w:bCs/>
          <w:color w:val="000000" w:themeColor="text1"/>
          <w:sz w:val="20"/>
          <w:szCs w:val="20"/>
        </w:rPr>
        <w:t>EDU PLUS</w:t>
      </w:r>
      <w:r w:rsidR="00994D28" w:rsidRPr="00D41017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Pr="00D41017">
        <w:rPr>
          <w:rFonts w:ascii="Arial" w:hAnsi="Arial" w:cs="Arial"/>
          <w:color w:val="000000" w:themeColor="text1"/>
          <w:sz w:val="20"/>
          <w:szCs w:val="20"/>
        </w:rPr>
        <w:t xml:space="preserve">zatwierdzonych uchwałą nr </w:t>
      </w:r>
      <w:r w:rsidR="00F80510" w:rsidRPr="00F80510">
        <w:rPr>
          <w:rFonts w:ascii="Arial" w:hAnsi="Arial" w:cs="Arial"/>
          <w:sz w:val="20"/>
          <w:szCs w:val="20"/>
        </w:rPr>
        <w:t>01/</w:t>
      </w:r>
      <w:r w:rsidR="00446FA2">
        <w:rPr>
          <w:rFonts w:ascii="Arial" w:hAnsi="Arial" w:cs="Arial"/>
          <w:sz w:val="20"/>
          <w:szCs w:val="20"/>
        </w:rPr>
        <w:t>03</w:t>
      </w:r>
      <w:r w:rsidR="00F80510" w:rsidRPr="00F80510">
        <w:rPr>
          <w:rFonts w:ascii="Arial" w:hAnsi="Arial" w:cs="Arial"/>
          <w:sz w:val="20"/>
          <w:szCs w:val="20"/>
        </w:rPr>
        <w:t>/03/2020</w:t>
      </w:r>
      <w:r w:rsidRPr="00D41017">
        <w:rPr>
          <w:rFonts w:ascii="Arial" w:hAnsi="Arial" w:cs="Arial"/>
          <w:color w:val="000000" w:themeColor="text1"/>
          <w:sz w:val="20"/>
          <w:szCs w:val="20"/>
        </w:rPr>
        <w:t xml:space="preserve"> Zarządu InterRisk TU  S.A. Vienna Insu</w:t>
      </w:r>
      <w:r w:rsidR="00994D28" w:rsidRPr="00D41017">
        <w:rPr>
          <w:rFonts w:ascii="Arial" w:hAnsi="Arial" w:cs="Arial"/>
          <w:color w:val="000000" w:themeColor="text1"/>
          <w:sz w:val="20"/>
          <w:szCs w:val="20"/>
        </w:rPr>
        <w:t xml:space="preserve">rance Group z dnia </w:t>
      </w:r>
      <w:r w:rsidR="00446FA2">
        <w:rPr>
          <w:rFonts w:ascii="Arial" w:hAnsi="Arial" w:cs="Arial"/>
          <w:color w:val="000000" w:themeColor="text1"/>
          <w:sz w:val="20"/>
          <w:szCs w:val="20"/>
        </w:rPr>
        <w:t>03</w:t>
      </w:r>
      <w:r w:rsidR="00994D28" w:rsidRPr="00D41017">
        <w:rPr>
          <w:rFonts w:ascii="Arial" w:hAnsi="Arial" w:cs="Arial"/>
          <w:color w:val="000000" w:themeColor="text1"/>
          <w:sz w:val="20"/>
          <w:szCs w:val="20"/>
        </w:rPr>
        <w:t>.</w:t>
      </w:r>
      <w:r w:rsidR="00363079">
        <w:rPr>
          <w:rFonts w:ascii="Arial" w:hAnsi="Arial" w:cs="Arial"/>
          <w:color w:val="000000" w:themeColor="text1"/>
          <w:sz w:val="20"/>
          <w:szCs w:val="20"/>
        </w:rPr>
        <w:t>0</w:t>
      </w:r>
      <w:r w:rsidR="00755BCA">
        <w:rPr>
          <w:rFonts w:ascii="Arial" w:hAnsi="Arial" w:cs="Arial"/>
          <w:color w:val="000000" w:themeColor="text1"/>
          <w:sz w:val="20"/>
          <w:szCs w:val="20"/>
        </w:rPr>
        <w:t>3</w:t>
      </w:r>
      <w:r w:rsidR="00994D28" w:rsidRPr="00D41017">
        <w:rPr>
          <w:rFonts w:ascii="Arial" w:hAnsi="Arial" w:cs="Arial"/>
          <w:color w:val="000000" w:themeColor="text1"/>
          <w:sz w:val="20"/>
          <w:szCs w:val="20"/>
        </w:rPr>
        <w:t>.20</w:t>
      </w:r>
      <w:r w:rsidR="00755BCA">
        <w:rPr>
          <w:rFonts w:ascii="Arial" w:hAnsi="Arial" w:cs="Arial"/>
          <w:color w:val="000000" w:themeColor="text1"/>
          <w:sz w:val="20"/>
          <w:szCs w:val="20"/>
        </w:rPr>
        <w:t>20</w:t>
      </w:r>
      <w:r w:rsidR="00994D28" w:rsidRPr="00D41017">
        <w:rPr>
          <w:rFonts w:ascii="Arial" w:hAnsi="Arial" w:cs="Arial"/>
          <w:color w:val="000000" w:themeColor="text1"/>
          <w:sz w:val="20"/>
          <w:szCs w:val="20"/>
        </w:rPr>
        <w:t xml:space="preserve"> r mające zastosowanie do oferty</w:t>
      </w:r>
      <w:r w:rsidR="00363079">
        <w:rPr>
          <w:rFonts w:ascii="Arial" w:hAnsi="Arial" w:cs="Arial"/>
          <w:color w:val="000000" w:themeColor="text1"/>
          <w:sz w:val="20"/>
          <w:szCs w:val="20"/>
        </w:rPr>
        <w:t xml:space="preserve"> ubezpieczenia przygotowanej przez</w:t>
      </w:r>
      <w:r w:rsidR="00994D28" w:rsidRPr="00D41017">
        <w:rPr>
          <w:rFonts w:ascii="Arial" w:hAnsi="Arial" w:cs="Arial"/>
          <w:color w:val="000000" w:themeColor="text1"/>
          <w:sz w:val="20"/>
          <w:szCs w:val="20"/>
        </w:rPr>
        <w:t xml:space="preserve"> Przemysław Bielak Finanse</w:t>
      </w:r>
      <w:r w:rsidR="006A62E4">
        <w:rPr>
          <w:rFonts w:ascii="Arial" w:hAnsi="Arial" w:cs="Arial"/>
          <w:color w:val="000000" w:themeColor="text1"/>
          <w:sz w:val="20"/>
          <w:szCs w:val="20"/>
        </w:rPr>
        <w:t xml:space="preserve"> na rok szkolny 2021/2022</w:t>
      </w:r>
      <w:r w:rsidRPr="00D41017">
        <w:rPr>
          <w:rFonts w:ascii="Arial" w:hAnsi="Arial" w:cs="Arial"/>
          <w:color w:val="000000" w:themeColor="text1"/>
          <w:sz w:val="20"/>
          <w:szCs w:val="20"/>
        </w:rPr>
        <w:br/>
      </w:r>
      <w:r w:rsidRPr="00D41017">
        <w:rPr>
          <w:rFonts w:ascii="Arial" w:hAnsi="Arial" w:cs="Arial"/>
          <w:color w:val="000000" w:themeColor="text1"/>
          <w:sz w:val="20"/>
          <w:szCs w:val="20"/>
        </w:rPr>
        <w:br/>
        <w:t xml:space="preserve">Działając na podstawie art. 812 § 8 k.c. InterRisk Towarzystwo Ubezpieczeń Spółka Akcyjna Vienna Insurance Group wskazuje różnice pomiędzy proponowaną treścią OWU EDU PLUS zatwierdzonych uchwałą nr </w:t>
      </w:r>
      <w:r w:rsidR="00755BCA">
        <w:rPr>
          <w:rFonts w:ascii="Arial" w:hAnsi="Arial" w:cs="Arial"/>
          <w:color w:val="000000" w:themeColor="text1"/>
          <w:sz w:val="20"/>
          <w:szCs w:val="20"/>
        </w:rPr>
        <w:t>01/</w:t>
      </w:r>
      <w:r w:rsidR="00446FA2">
        <w:rPr>
          <w:rFonts w:ascii="Arial" w:hAnsi="Arial" w:cs="Arial"/>
          <w:color w:val="000000" w:themeColor="text1"/>
          <w:sz w:val="20"/>
          <w:szCs w:val="20"/>
        </w:rPr>
        <w:t>03</w:t>
      </w:r>
      <w:r w:rsidR="00755BCA">
        <w:rPr>
          <w:rFonts w:ascii="Arial" w:hAnsi="Arial" w:cs="Arial"/>
          <w:color w:val="000000" w:themeColor="text1"/>
          <w:sz w:val="20"/>
          <w:szCs w:val="20"/>
        </w:rPr>
        <w:t>/0</w:t>
      </w:r>
      <w:r w:rsidR="00446FA2">
        <w:rPr>
          <w:rFonts w:ascii="Arial" w:hAnsi="Arial" w:cs="Arial"/>
          <w:color w:val="000000" w:themeColor="text1"/>
          <w:sz w:val="20"/>
          <w:szCs w:val="20"/>
        </w:rPr>
        <w:t>3</w:t>
      </w:r>
      <w:r w:rsidR="00755BCA">
        <w:rPr>
          <w:rFonts w:ascii="Arial" w:hAnsi="Arial" w:cs="Arial"/>
          <w:color w:val="000000" w:themeColor="text1"/>
          <w:sz w:val="20"/>
          <w:szCs w:val="20"/>
        </w:rPr>
        <w:t>/2020</w:t>
      </w:r>
      <w:r w:rsidRPr="00D41017">
        <w:rPr>
          <w:rFonts w:ascii="Arial" w:hAnsi="Arial" w:cs="Arial"/>
          <w:color w:val="000000" w:themeColor="text1"/>
          <w:sz w:val="20"/>
          <w:szCs w:val="20"/>
        </w:rPr>
        <w:t xml:space="preserve"> Zarządu InterRisk TU  S.A. Vienna Insurance Group z dnia </w:t>
      </w:r>
      <w:r w:rsidR="00446FA2">
        <w:rPr>
          <w:rFonts w:ascii="Arial" w:hAnsi="Arial" w:cs="Arial"/>
          <w:color w:val="000000" w:themeColor="text1"/>
          <w:sz w:val="20"/>
          <w:szCs w:val="20"/>
        </w:rPr>
        <w:t>03</w:t>
      </w:r>
      <w:r w:rsidRPr="00D41017">
        <w:rPr>
          <w:rFonts w:ascii="Arial" w:hAnsi="Arial" w:cs="Arial"/>
          <w:color w:val="000000" w:themeColor="text1"/>
          <w:sz w:val="20"/>
          <w:szCs w:val="20"/>
        </w:rPr>
        <w:t>.0</w:t>
      </w:r>
      <w:r w:rsidR="00755BCA">
        <w:rPr>
          <w:rFonts w:ascii="Arial" w:hAnsi="Arial" w:cs="Arial"/>
          <w:color w:val="000000" w:themeColor="text1"/>
          <w:sz w:val="20"/>
          <w:szCs w:val="20"/>
        </w:rPr>
        <w:t>3</w:t>
      </w:r>
      <w:r w:rsidRPr="00D41017">
        <w:rPr>
          <w:rFonts w:ascii="Arial" w:hAnsi="Arial" w:cs="Arial"/>
          <w:color w:val="000000" w:themeColor="text1"/>
          <w:sz w:val="20"/>
          <w:szCs w:val="20"/>
        </w:rPr>
        <w:t>.20</w:t>
      </w:r>
      <w:r w:rsidR="00755BCA">
        <w:rPr>
          <w:rFonts w:ascii="Arial" w:hAnsi="Arial" w:cs="Arial"/>
          <w:color w:val="000000" w:themeColor="text1"/>
          <w:sz w:val="20"/>
          <w:szCs w:val="20"/>
        </w:rPr>
        <w:t>20</w:t>
      </w:r>
      <w:r w:rsidRPr="00D41017">
        <w:rPr>
          <w:rFonts w:ascii="Arial" w:hAnsi="Arial" w:cs="Arial"/>
          <w:color w:val="000000" w:themeColor="text1"/>
          <w:sz w:val="20"/>
          <w:szCs w:val="20"/>
        </w:rPr>
        <w:t xml:space="preserve"> r.</w:t>
      </w:r>
    </w:p>
    <w:p w14:paraId="6D3E0B20" w14:textId="77777777" w:rsidR="00363079" w:rsidRDefault="00363079" w:rsidP="00FD439F">
      <w:pPr>
        <w:pStyle w:val="wordsection1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48349726" w14:textId="5FFD3E08" w:rsidR="00FD439F" w:rsidRDefault="00FD439F" w:rsidP="00FD439F">
      <w:pPr>
        <w:pStyle w:val="wordsection1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D41017">
        <w:rPr>
          <w:rFonts w:ascii="Arial" w:hAnsi="Arial" w:cs="Arial"/>
          <w:color w:val="000000" w:themeColor="text1"/>
          <w:sz w:val="20"/>
          <w:szCs w:val="20"/>
        </w:rPr>
        <w:t xml:space="preserve">§ 1 </w:t>
      </w:r>
      <w:r w:rsidRPr="00D41017">
        <w:rPr>
          <w:rFonts w:ascii="Arial" w:hAnsi="Arial" w:cs="Arial"/>
          <w:color w:val="000000" w:themeColor="text1"/>
          <w:sz w:val="20"/>
          <w:szCs w:val="20"/>
        </w:rPr>
        <w:br/>
        <w:t>Dla potrzeb niniejszej oferty/umowy ubezpieczenia wprowadza się następujące postanowienia dodatkowe lub odmienne od OWU EDU PLUS:</w:t>
      </w:r>
    </w:p>
    <w:p w14:paraId="1141AACE" w14:textId="77777777" w:rsidR="007A73C6" w:rsidRPr="00D41017" w:rsidRDefault="007A73C6" w:rsidP="00FD439F">
      <w:pPr>
        <w:pStyle w:val="wordsection1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1C592D00" w14:textId="77777777" w:rsidR="00424C5B" w:rsidRPr="00D41017" w:rsidRDefault="00424C5B" w:rsidP="00FD439F">
      <w:pPr>
        <w:pStyle w:val="wordsection1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24976898" w14:textId="318F79A2" w:rsidR="00FD439F" w:rsidRPr="00D41017" w:rsidRDefault="0067130E" w:rsidP="003B7B7D">
      <w:pPr>
        <w:pStyle w:val="wordsection1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1" w:name="_Hlk7914929"/>
      <w:bookmarkStart w:id="2" w:name="_Hlk7901479"/>
      <w:r w:rsidRPr="00D41017">
        <w:rPr>
          <w:rFonts w:ascii="Arial" w:hAnsi="Arial" w:cs="Arial"/>
          <w:color w:val="000000" w:themeColor="text1"/>
          <w:sz w:val="20"/>
          <w:szCs w:val="20"/>
        </w:rPr>
        <w:t>§</w:t>
      </w:r>
      <w:r w:rsidR="00C003D8" w:rsidRPr="00D41017">
        <w:rPr>
          <w:rFonts w:ascii="Arial" w:hAnsi="Arial" w:cs="Arial"/>
          <w:color w:val="000000" w:themeColor="text1"/>
          <w:sz w:val="20"/>
          <w:szCs w:val="20"/>
        </w:rPr>
        <w:t xml:space="preserve"> 2 pkt</w:t>
      </w:r>
      <w:r w:rsidR="004568D2" w:rsidRPr="00D4101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46FA2">
        <w:rPr>
          <w:rFonts w:ascii="Arial" w:hAnsi="Arial" w:cs="Arial"/>
          <w:color w:val="000000" w:themeColor="text1"/>
          <w:sz w:val="20"/>
          <w:szCs w:val="20"/>
        </w:rPr>
        <w:t>5</w:t>
      </w:r>
      <w:r w:rsidR="00D41017" w:rsidRPr="00D41017">
        <w:rPr>
          <w:rFonts w:ascii="Arial" w:hAnsi="Arial" w:cs="Arial"/>
          <w:color w:val="000000" w:themeColor="text1"/>
          <w:sz w:val="20"/>
          <w:szCs w:val="20"/>
        </w:rPr>
        <w:t>9</w:t>
      </w:r>
      <w:r w:rsidR="00B02B63" w:rsidRPr="00D41017">
        <w:rPr>
          <w:rFonts w:ascii="Arial" w:hAnsi="Arial" w:cs="Arial"/>
          <w:color w:val="000000" w:themeColor="text1"/>
          <w:sz w:val="20"/>
          <w:szCs w:val="20"/>
        </w:rPr>
        <w:t>)</w:t>
      </w:r>
      <w:r w:rsidR="00C003D8" w:rsidRPr="00D41017">
        <w:rPr>
          <w:rFonts w:ascii="Arial" w:hAnsi="Arial" w:cs="Arial"/>
          <w:color w:val="000000" w:themeColor="text1"/>
          <w:sz w:val="20"/>
          <w:szCs w:val="20"/>
        </w:rPr>
        <w:t xml:space="preserve"> otrzymuje brzmienie</w:t>
      </w:r>
      <w:bookmarkEnd w:id="1"/>
      <w:r w:rsidR="00C003D8" w:rsidRPr="00D41017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</w:p>
    <w:bookmarkEnd w:id="2"/>
    <w:p w14:paraId="70C74724" w14:textId="24521290" w:rsidR="00C003D8" w:rsidRDefault="00C003D8" w:rsidP="003B7B7D">
      <w:pPr>
        <w:pStyle w:val="wordsection1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41017">
        <w:rPr>
          <w:rFonts w:ascii="Arial" w:hAnsi="Arial" w:cs="Arial"/>
          <w:color w:val="000000" w:themeColor="text1"/>
          <w:sz w:val="20"/>
          <w:szCs w:val="20"/>
        </w:rPr>
        <w:t>„</w:t>
      </w:r>
      <w:r w:rsidR="004568D2" w:rsidRPr="00D4101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46FA2">
        <w:rPr>
          <w:rFonts w:ascii="Arial" w:hAnsi="Arial" w:cs="Arial"/>
          <w:color w:val="000000" w:themeColor="text1"/>
          <w:sz w:val="20"/>
          <w:szCs w:val="20"/>
        </w:rPr>
        <w:t>5</w:t>
      </w:r>
      <w:r w:rsidR="00D41017" w:rsidRPr="00D41017">
        <w:rPr>
          <w:rFonts w:ascii="Arial" w:hAnsi="Arial" w:cs="Arial"/>
          <w:color w:val="000000" w:themeColor="text1"/>
          <w:sz w:val="20"/>
          <w:szCs w:val="20"/>
        </w:rPr>
        <w:t>9</w:t>
      </w:r>
      <w:r w:rsidRPr="0052370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) </w:t>
      </w:r>
      <w:r w:rsidR="009D7E1A" w:rsidRPr="00523703">
        <w:rPr>
          <w:rFonts w:ascii="Arial" w:hAnsi="Arial" w:cs="Arial"/>
          <w:b/>
          <w:bCs/>
          <w:color w:val="000000" w:themeColor="text1"/>
          <w:sz w:val="20"/>
          <w:szCs w:val="20"/>
        </w:rPr>
        <w:t>Poważna Choroba</w:t>
      </w:r>
      <w:r w:rsidR="009D7E1A" w:rsidRPr="00D41017">
        <w:rPr>
          <w:rFonts w:ascii="Arial" w:hAnsi="Arial" w:cs="Arial"/>
          <w:color w:val="000000" w:themeColor="text1"/>
          <w:sz w:val="20"/>
          <w:szCs w:val="20"/>
        </w:rPr>
        <w:t xml:space="preserve"> - wyłącznie poniżej wymienione choroby, które zostały zdiagnozowane po raz pierwszy w trakcie okresu ubezpieczenia: nowotwór złośliwy, niewydolność nerek, stwardnienie rozsiane, cukrzyca typu I, zapalenie opon rdzeniowo-mózgowych</w:t>
      </w:r>
      <w:r w:rsidR="00446FA2">
        <w:rPr>
          <w:rFonts w:ascii="Arial" w:hAnsi="Arial" w:cs="Arial"/>
          <w:color w:val="000000" w:themeColor="text1"/>
          <w:sz w:val="20"/>
          <w:szCs w:val="20"/>
        </w:rPr>
        <w:t>.</w:t>
      </w:r>
      <w:r w:rsidR="00BA4D3B" w:rsidRPr="00D41017">
        <w:rPr>
          <w:rFonts w:ascii="Arial" w:hAnsi="Arial" w:cs="Arial"/>
          <w:color w:val="000000" w:themeColor="text1"/>
          <w:sz w:val="20"/>
          <w:szCs w:val="20"/>
        </w:rPr>
        <w:t>”</w:t>
      </w:r>
    </w:p>
    <w:p w14:paraId="7B9EF095" w14:textId="77777777" w:rsidR="009C6C00" w:rsidRDefault="009C6C00" w:rsidP="003B7B7D">
      <w:pPr>
        <w:pStyle w:val="wordsection1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E113237" w14:textId="77777777" w:rsidR="009C6C00" w:rsidRPr="009C6C00" w:rsidRDefault="009C6C00" w:rsidP="009C6C00">
      <w:pPr>
        <w:pStyle w:val="Akapitzlist"/>
        <w:numPr>
          <w:ilvl w:val="0"/>
          <w:numId w:val="1"/>
        </w:numPr>
        <w:autoSpaceDE w:val="0"/>
        <w:autoSpaceDN w:val="0"/>
        <w:spacing w:after="200" w:line="276" w:lineRule="auto"/>
        <w:rPr>
          <w:rFonts w:ascii="Arial" w:hAnsi="Arial" w:cs="Arial"/>
          <w:sz w:val="20"/>
          <w:szCs w:val="20"/>
        </w:rPr>
      </w:pPr>
      <w:r w:rsidRPr="009C6C00">
        <w:rPr>
          <w:rFonts w:ascii="Arial" w:hAnsi="Arial" w:cs="Arial"/>
          <w:sz w:val="20"/>
          <w:szCs w:val="20"/>
        </w:rPr>
        <w:t xml:space="preserve">§2 pkt 70) OWU otrzymuje brzmienie: </w:t>
      </w:r>
    </w:p>
    <w:p w14:paraId="34C03874" w14:textId="77777777" w:rsidR="009C6C00" w:rsidRPr="009C6C00" w:rsidRDefault="009C6C00" w:rsidP="009C6C00">
      <w:pPr>
        <w:pStyle w:val="Akapitzlist"/>
        <w:autoSpaceDE w:val="0"/>
        <w:autoSpaceDN w:val="0"/>
        <w:spacing w:after="200" w:line="276" w:lineRule="auto"/>
        <w:rPr>
          <w:rFonts w:ascii="Arial" w:hAnsi="Arial" w:cs="Arial"/>
        </w:rPr>
      </w:pPr>
      <w:r w:rsidRPr="009C6C00">
        <w:rPr>
          <w:rFonts w:ascii="Arial" w:hAnsi="Arial" w:cs="Arial"/>
          <w:sz w:val="20"/>
          <w:szCs w:val="20"/>
        </w:rPr>
        <w:t xml:space="preserve">„70) </w:t>
      </w:r>
      <w:r w:rsidRPr="009C6C00">
        <w:rPr>
          <w:rFonts w:ascii="Arial" w:hAnsi="Arial" w:cs="Arial"/>
          <w:b/>
          <w:bCs/>
          <w:sz w:val="20"/>
          <w:szCs w:val="20"/>
        </w:rPr>
        <w:t xml:space="preserve">sporty i aktywności wysokiego ryzyka </w:t>
      </w:r>
      <w:r w:rsidRPr="009C6C00">
        <w:rPr>
          <w:rFonts w:ascii="Arial" w:hAnsi="Arial" w:cs="Arial"/>
          <w:sz w:val="20"/>
          <w:szCs w:val="20"/>
        </w:rPr>
        <w:t xml:space="preserve">– </w:t>
      </w:r>
      <w:proofErr w:type="spellStart"/>
      <w:r w:rsidRPr="009C6C00">
        <w:rPr>
          <w:rFonts w:ascii="Arial" w:hAnsi="Arial" w:cs="Arial"/>
          <w:sz w:val="20"/>
          <w:szCs w:val="20"/>
        </w:rPr>
        <w:t>highlining</w:t>
      </w:r>
      <w:proofErr w:type="spellEnd"/>
      <w:r w:rsidRPr="009C6C0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C6C00">
        <w:rPr>
          <w:rFonts w:ascii="Arial" w:hAnsi="Arial" w:cs="Arial"/>
          <w:sz w:val="20"/>
          <w:szCs w:val="20"/>
        </w:rPr>
        <w:t>slacklining</w:t>
      </w:r>
      <w:proofErr w:type="spellEnd"/>
      <w:r w:rsidRPr="009C6C0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C6C00">
        <w:rPr>
          <w:rFonts w:ascii="Arial" w:hAnsi="Arial" w:cs="Arial"/>
          <w:sz w:val="20"/>
          <w:szCs w:val="20"/>
        </w:rPr>
        <w:t>speedrower</w:t>
      </w:r>
      <w:proofErr w:type="spellEnd"/>
      <w:r w:rsidRPr="009C6C0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C6C00">
        <w:rPr>
          <w:rFonts w:ascii="Arial" w:hAnsi="Arial" w:cs="Arial"/>
          <w:sz w:val="20"/>
          <w:szCs w:val="20"/>
        </w:rPr>
        <w:t>airsoft</w:t>
      </w:r>
      <w:proofErr w:type="spellEnd"/>
      <w:r w:rsidRPr="009C6C00">
        <w:rPr>
          <w:rFonts w:ascii="Arial" w:hAnsi="Arial" w:cs="Arial"/>
          <w:sz w:val="20"/>
          <w:szCs w:val="20"/>
        </w:rPr>
        <w:t xml:space="preserve">, bouldering, wspinaczka skalna, wspinaczka lodowa, taternictwo, alpinizm, himalaizm, </w:t>
      </w:r>
      <w:proofErr w:type="spellStart"/>
      <w:r w:rsidRPr="009C6C00">
        <w:rPr>
          <w:rFonts w:ascii="Arial" w:hAnsi="Arial" w:cs="Arial"/>
          <w:sz w:val="20"/>
          <w:szCs w:val="20"/>
        </w:rPr>
        <w:t>skialpinizm</w:t>
      </w:r>
      <w:proofErr w:type="spellEnd"/>
      <w:r w:rsidRPr="009C6C00">
        <w:rPr>
          <w:rFonts w:ascii="Arial" w:hAnsi="Arial" w:cs="Arial"/>
          <w:sz w:val="20"/>
          <w:szCs w:val="20"/>
        </w:rPr>
        <w:t xml:space="preserve">, trekking, zjazdy ekstremalne na nartach, </w:t>
      </w:r>
      <w:proofErr w:type="spellStart"/>
      <w:r w:rsidRPr="009C6C00">
        <w:rPr>
          <w:rFonts w:ascii="Arial" w:hAnsi="Arial" w:cs="Arial"/>
          <w:sz w:val="20"/>
          <w:szCs w:val="20"/>
        </w:rPr>
        <w:t>freestyle</w:t>
      </w:r>
      <w:proofErr w:type="spellEnd"/>
      <w:r w:rsidRPr="009C6C0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C6C00">
        <w:rPr>
          <w:rFonts w:ascii="Arial" w:hAnsi="Arial" w:cs="Arial"/>
          <w:sz w:val="20"/>
          <w:szCs w:val="20"/>
        </w:rPr>
        <w:t>freeride</w:t>
      </w:r>
      <w:proofErr w:type="spellEnd"/>
      <w:r w:rsidRPr="009C6C00">
        <w:rPr>
          <w:rFonts w:ascii="Arial" w:hAnsi="Arial" w:cs="Arial"/>
          <w:sz w:val="20"/>
          <w:szCs w:val="20"/>
        </w:rPr>
        <w:t xml:space="preserve">, snowboarding wysokogórski, snowboarding prędkościowy, skoki i ewolucje narciarskie i snowboardowe, </w:t>
      </w:r>
      <w:proofErr w:type="spellStart"/>
      <w:r w:rsidRPr="009C6C00">
        <w:rPr>
          <w:rFonts w:ascii="Arial" w:hAnsi="Arial" w:cs="Arial"/>
          <w:sz w:val="20"/>
          <w:szCs w:val="20"/>
        </w:rPr>
        <w:t>rafting</w:t>
      </w:r>
      <w:proofErr w:type="spellEnd"/>
      <w:r w:rsidRPr="009C6C0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C6C00">
        <w:rPr>
          <w:rFonts w:ascii="Arial" w:hAnsi="Arial" w:cs="Arial"/>
          <w:sz w:val="20"/>
          <w:szCs w:val="20"/>
        </w:rPr>
        <w:t>canyoning</w:t>
      </w:r>
      <w:proofErr w:type="spellEnd"/>
      <w:r w:rsidRPr="009C6C0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C6C00">
        <w:rPr>
          <w:rFonts w:ascii="Arial" w:hAnsi="Arial" w:cs="Arial"/>
          <w:sz w:val="20"/>
          <w:szCs w:val="20"/>
        </w:rPr>
        <w:t>hydrospeed</w:t>
      </w:r>
      <w:proofErr w:type="spellEnd"/>
      <w:r w:rsidRPr="009C6C00">
        <w:rPr>
          <w:rFonts w:ascii="Arial" w:hAnsi="Arial" w:cs="Arial"/>
          <w:sz w:val="20"/>
          <w:szCs w:val="20"/>
        </w:rPr>
        <w:t xml:space="preserve">, kajakarstwo górskie, szybownictwo, spadochroniarstwo, lotniarstwo, paralotniarstwo, motolotniarstwo, baloniarstwo, pilotowanie samolotów lub śmigłowców, </w:t>
      </w:r>
      <w:proofErr w:type="spellStart"/>
      <w:r w:rsidRPr="009C6C00">
        <w:rPr>
          <w:rFonts w:ascii="Arial" w:hAnsi="Arial" w:cs="Arial"/>
          <w:sz w:val="20"/>
          <w:szCs w:val="20"/>
        </w:rPr>
        <w:t>zorbing</w:t>
      </w:r>
      <w:proofErr w:type="spellEnd"/>
      <w:r w:rsidRPr="009C6C00">
        <w:rPr>
          <w:rFonts w:ascii="Arial" w:hAnsi="Arial" w:cs="Arial"/>
          <w:sz w:val="20"/>
          <w:szCs w:val="20"/>
        </w:rPr>
        <w:t xml:space="preserve">, skoki z/na bungee, nurkowanie, </w:t>
      </w:r>
      <w:proofErr w:type="spellStart"/>
      <w:r w:rsidRPr="009C6C00">
        <w:rPr>
          <w:rFonts w:ascii="Arial" w:hAnsi="Arial" w:cs="Arial"/>
          <w:sz w:val="20"/>
          <w:szCs w:val="20"/>
        </w:rPr>
        <w:t>parkour</w:t>
      </w:r>
      <w:proofErr w:type="spellEnd"/>
      <w:r w:rsidRPr="009C6C0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C6C00">
        <w:rPr>
          <w:rFonts w:ascii="Arial" w:hAnsi="Arial" w:cs="Arial"/>
          <w:sz w:val="20"/>
          <w:szCs w:val="20"/>
        </w:rPr>
        <w:t>freerun</w:t>
      </w:r>
      <w:proofErr w:type="spellEnd"/>
      <w:r w:rsidRPr="009C6C0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C6C00">
        <w:rPr>
          <w:rFonts w:ascii="Arial" w:hAnsi="Arial" w:cs="Arial"/>
          <w:sz w:val="20"/>
          <w:szCs w:val="20"/>
        </w:rPr>
        <w:t>buggykitting</w:t>
      </w:r>
      <w:proofErr w:type="spellEnd"/>
      <w:r w:rsidRPr="009C6C00">
        <w:rPr>
          <w:rFonts w:ascii="Arial" w:hAnsi="Arial" w:cs="Arial"/>
          <w:sz w:val="20"/>
          <w:szCs w:val="20"/>
        </w:rPr>
        <w:t xml:space="preserve">, windsurfing, jazda quadami, </w:t>
      </w:r>
      <w:proofErr w:type="spellStart"/>
      <w:r w:rsidRPr="009C6C00">
        <w:rPr>
          <w:rFonts w:ascii="Arial" w:hAnsi="Arial" w:cs="Arial"/>
          <w:sz w:val="20"/>
          <w:szCs w:val="20"/>
        </w:rPr>
        <w:t>kitesurfing</w:t>
      </w:r>
      <w:proofErr w:type="spellEnd"/>
      <w:r w:rsidRPr="009C6C00">
        <w:rPr>
          <w:rFonts w:ascii="Arial" w:hAnsi="Arial" w:cs="Arial"/>
          <w:sz w:val="20"/>
          <w:szCs w:val="20"/>
        </w:rPr>
        <w:t xml:space="preserve">, żegluga poza wodami terytorialnymi w odległości powyżej 12 mil morskich od brzegu, kolarstwo ekstremalne, kolarstwo górskie, speleologia, bobsleje, saneczkarstwo, sporty motorowe, rajdy pojazdów lądowych, wodnych lub powietrznych, </w:t>
      </w:r>
      <w:proofErr w:type="spellStart"/>
      <w:r w:rsidRPr="009C6C00">
        <w:rPr>
          <w:rFonts w:ascii="Arial" w:hAnsi="Arial" w:cs="Arial"/>
          <w:sz w:val="20"/>
          <w:szCs w:val="20"/>
        </w:rPr>
        <w:t>heliskiing</w:t>
      </w:r>
      <w:proofErr w:type="spellEnd"/>
      <w:r w:rsidRPr="009C6C0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C6C00">
        <w:rPr>
          <w:rFonts w:ascii="Arial" w:hAnsi="Arial" w:cs="Arial"/>
          <w:sz w:val="20"/>
          <w:szCs w:val="20"/>
        </w:rPr>
        <w:t>heliboarding</w:t>
      </w:r>
      <w:proofErr w:type="spellEnd"/>
      <w:r w:rsidRPr="009C6C0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C6C00">
        <w:rPr>
          <w:rFonts w:ascii="Arial" w:hAnsi="Arial" w:cs="Arial"/>
          <w:sz w:val="20"/>
          <w:szCs w:val="20"/>
        </w:rPr>
        <w:t>freefall</w:t>
      </w:r>
      <w:proofErr w:type="spellEnd"/>
      <w:r w:rsidRPr="009C6C0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C6C00">
        <w:rPr>
          <w:rFonts w:ascii="Arial" w:hAnsi="Arial" w:cs="Arial"/>
          <w:sz w:val="20"/>
          <w:szCs w:val="20"/>
        </w:rPr>
        <w:t>downhill</w:t>
      </w:r>
      <w:proofErr w:type="spellEnd"/>
      <w:r w:rsidRPr="009C6C0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C6C00">
        <w:rPr>
          <w:rFonts w:ascii="Arial" w:hAnsi="Arial" w:cs="Arial"/>
          <w:sz w:val="20"/>
          <w:szCs w:val="20"/>
        </w:rPr>
        <w:t>b.a.s.e</w:t>
      </w:r>
      <w:proofErr w:type="spellEnd"/>
      <w:r w:rsidRPr="009C6C00">
        <w:rPr>
          <w:rFonts w:ascii="Arial" w:hAnsi="Arial" w:cs="Arial"/>
          <w:sz w:val="20"/>
          <w:szCs w:val="20"/>
        </w:rPr>
        <w:t xml:space="preserve">. jumping, </w:t>
      </w:r>
      <w:proofErr w:type="spellStart"/>
      <w:r w:rsidRPr="009C6C00">
        <w:rPr>
          <w:rFonts w:ascii="Arial" w:hAnsi="Arial" w:cs="Arial"/>
          <w:sz w:val="20"/>
          <w:szCs w:val="20"/>
        </w:rPr>
        <w:t>dream</w:t>
      </w:r>
      <w:proofErr w:type="spellEnd"/>
      <w:r w:rsidRPr="009C6C00">
        <w:rPr>
          <w:rFonts w:ascii="Arial" w:hAnsi="Arial" w:cs="Arial"/>
          <w:sz w:val="20"/>
          <w:szCs w:val="20"/>
        </w:rPr>
        <w:t xml:space="preserve"> jumping oraz zjazdy na nartach lub snowboardzie poza wyznaczonymi trasami, jazda na nartach wodnych, skeleton, bojery, biathlon, jazda skibobem oraz sporty, w których wykorzystywane są pojazdy przeznaczone do poruszania się po śniegu lub lodzie;”.</w:t>
      </w:r>
    </w:p>
    <w:p w14:paraId="2A2C658A" w14:textId="3483CD2F" w:rsidR="004568D2" w:rsidRPr="00D41017" w:rsidRDefault="004D6E7F" w:rsidP="003B7B7D">
      <w:pPr>
        <w:pStyle w:val="wordsection1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41017">
        <w:rPr>
          <w:rFonts w:ascii="Arial" w:hAnsi="Arial" w:cs="Arial"/>
          <w:color w:val="000000" w:themeColor="text1"/>
          <w:sz w:val="20"/>
          <w:szCs w:val="20"/>
        </w:rPr>
        <w:t xml:space="preserve">§ 4 ust. 1 pkt 1 </w:t>
      </w:r>
      <w:r w:rsidR="00832460" w:rsidRPr="00D41017">
        <w:rPr>
          <w:rFonts w:ascii="Arial" w:hAnsi="Arial" w:cs="Arial"/>
          <w:color w:val="000000" w:themeColor="text1"/>
          <w:sz w:val="20"/>
          <w:szCs w:val="20"/>
        </w:rPr>
        <w:t>lit.</w:t>
      </w:r>
      <w:r w:rsidRPr="00D4101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46FA2">
        <w:rPr>
          <w:rFonts w:ascii="Arial" w:hAnsi="Arial" w:cs="Arial"/>
          <w:color w:val="000000" w:themeColor="text1"/>
          <w:sz w:val="20"/>
          <w:szCs w:val="20"/>
        </w:rPr>
        <w:t>g</w:t>
      </w:r>
      <w:r w:rsidRPr="00D41017">
        <w:rPr>
          <w:rFonts w:ascii="Arial" w:hAnsi="Arial" w:cs="Arial"/>
          <w:color w:val="000000" w:themeColor="text1"/>
          <w:sz w:val="20"/>
          <w:szCs w:val="20"/>
        </w:rPr>
        <w:t>) otrzymuje brzmienie</w:t>
      </w:r>
      <w:r w:rsidR="004568D2" w:rsidRPr="00D41017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</w:p>
    <w:p w14:paraId="4652171A" w14:textId="1B806EE7" w:rsidR="004679C0" w:rsidRDefault="004568D2" w:rsidP="003B7B7D">
      <w:pPr>
        <w:pStyle w:val="wordsection1"/>
        <w:spacing w:before="0" w:beforeAutospacing="0" w:after="0" w:afterAutospacing="0" w:line="276" w:lineRule="auto"/>
        <w:ind w:left="720"/>
        <w:rPr>
          <w:rFonts w:ascii="Arial" w:hAnsi="Arial" w:cs="Arial"/>
          <w:color w:val="000000" w:themeColor="text1"/>
          <w:sz w:val="20"/>
          <w:szCs w:val="20"/>
        </w:rPr>
      </w:pPr>
      <w:bookmarkStart w:id="3" w:name="_Hlk72425605"/>
      <w:bookmarkStart w:id="4" w:name="_Hlk72425664"/>
      <w:r w:rsidRPr="00D41017">
        <w:rPr>
          <w:rFonts w:ascii="Arial" w:hAnsi="Arial" w:cs="Arial"/>
          <w:color w:val="000000" w:themeColor="text1"/>
          <w:sz w:val="20"/>
          <w:szCs w:val="20"/>
        </w:rPr>
        <w:t xml:space="preserve">§ 4 ust. 1 pkt 1) </w:t>
      </w:r>
      <w:bookmarkEnd w:id="3"/>
      <w:r w:rsidR="00446FA2">
        <w:rPr>
          <w:rFonts w:ascii="Arial" w:hAnsi="Arial" w:cs="Arial"/>
          <w:color w:val="000000" w:themeColor="text1"/>
          <w:sz w:val="20"/>
          <w:szCs w:val="20"/>
        </w:rPr>
        <w:t>g</w:t>
      </w:r>
      <w:r w:rsidRPr="00D41017">
        <w:rPr>
          <w:rFonts w:ascii="Arial" w:hAnsi="Arial" w:cs="Arial"/>
          <w:color w:val="000000" w:themeColor="text1"/>
          <w:sz w:val="20"/>
          <w:szCs w:val="20"/>
        </w:rPr>
        <w:t xml:space="preserve">) </w:t>
      </w:r>
      <w:bookmarkEnd w:id="4"/>
      <w:r w:rsidRPr="00D41017">
        <w:rPr>
          <w:rFonts w:ascii="Arial" w:hAnsi="Arial" w:cs="Arial"/>
          <w:color w:val="000000" w:themeColor="text1"/>
          <w:sz w:val="20"/>
          <w:szCs w:val="20"/>
        </w:rPr>
        <w:t>– zdiagnozowanie u Ubezpieczonego</w:t>
      </w:r>
      <w:r w:rsidR="00D41017" w:rsidRPr="00D41017">
        <w:rPr>
          <w:rFonts w:ascii="Arial" w:hAnsi="Arial" w:cs="Arial"/>
          <w:color w:val="000000" w:themeColor="text1"/>
          <w:sz w:val="20"/>
          <w:szCs w:val="20"/>
        </w:rPr>
        <w:t xml:space="preserve"> sepsy</w:t>
      </w:r>
      <w:r w:rsidR="005F6EB8">
        <w:rPr>
          <w:rFonts w:ascii="Arial" w:hAnsi="Arial" w:cs="Arial"/>
          <w:color w:val="000000" w:themeColor="text1"/>
          <w:sz w:val="20"/>
          <w:szCs w:val="20"/>
        </w:rPr>
        <w:t>, Poważnej Choroby</w:t>
      </w:r>
      <w:r w:rsidR="00446FA2">
        <w:rPr>
          <w:rFonts w:ascii="Arial" w:hAnsi="Arial" w:cs="Arial"/>
          <w:color w:val="000000" w:themeColor="text1"/>
          <w:sz w:val="20"/>
          <w:szCs w:val="20"/>
        </w:rPr>
        <w:t>;</w:t>
      </w:r>
      <w:r w:rsidR="00D41017" w:rsidRPr="00D4101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292B679D" w14:textId="3A8D36D9" w:rsidR="009C6C00" w:rsidRDefault="009C6C00" w:rsidP="009C6C00">
      <w:pPr>
        <w:pStyle w:val="wordsection1"/>
        <w:numPr>
          <w:ilvl w:val="0"/>
          <w:numId w:val="1"/>
        </w:numPr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D41017">
        <w:rPr>
          <w:rFonts w:ascii="Arial" w:hAnsi="Arial" w:cs="Arial"/>
          <w:color w:val="000000" w:themeColor="text1"/>
          <w:sz w:val="20"/>
          <w:szCs w:val="20"/>
        </w:rPr>
        <w:t xml:space="preserve">§ 4 ust. 1 pkt 1) </w:t>
      </w:r>
      <w:bookmarkStart w:id="5" w:name="_Hlk72425827"/>
      <w:r>
        <w:rPr>
          <w:rFonts w:ascii="Arial" w:hAnsi="Arial" w:cs="Arial"/>
          <w:color w:val="000000" w:themeColor="text1"/>
          <w:sz w:val="20"/>
          <w:szCs w:val="20"/>
        </w:rPr>
        <w:t>dodaje się literę ł, która otrzymuje brzmienie</w:t>
      </w:r>
      <w:bookmarkEnd w:id="5"/>
      <w:r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48022D7E" w14:textId="6FDB8AC5" w:rsidR="009C6C00" w:rsidRPr="00D41017" w:rsidRDefault="009C6C00" w:rsidP="009C6C00">
      <w:pPr>
        <w:pStyle w:val="wordsection1"/>
        <w:spacing w:before="0" w:beforeAutospacing="0" w:after="0" w:afterAutospacing="0" w:line="276" w:lineRule="auto"/>
        <w:ind w:left="720"/>
        <w:rPr>
          <w:rFonts w:ascii="Arial" w:hAnsi="Arial" w:cs="Arial"/>
          <w:color w:val="000000" w:themeColor="text1"/>
          <w:sz w:val="20"/>
          <w:szCs w:val="20"/>
        </w:rPr>
      </w:pPr>
      <w:r w:rsidRPr="00D41017">
        <w:rPr>
          <w:rFonts w:ascii="Arial" w:hAnsi="Arial" w:cs="Arial"/>
          <w:color w:val="000000" w:themeColor="text1"/>
          <w:sz w:val="20"/>
          <w:szCs w:val="20"/>
        </w:rPr>
        <w:t xml:space="preserve">§ 4 ust. 1 pkt 1) </w:t>
      </w:r>
      <w:r>
        <w:rPr>
          <w:rFonts w:ascii="Arial" w:hAnsi="Arial" w:cs="Arial"/>
          <w:color w:val="000000" w:themeColor="text1"/>
          <w:sz w:val="20"/>
          <w:szCs w:val="20"/>
        </w:rPr>
        <w:t>ł</w:t>
      </w:r>
      <w:r w:rsidRPr="00D41017">
        <w:rPr>
          <w:rFonts w:ascii="Arial" w:hAnsi="Arial" w:cs="Arial"/>
          <w:color w:val="000000" w:themeColor="text1"/>
          <w:sz w:val="20"/>
          <w:szCs w:val="20"/>
        </w:rPr>
        <w:t>)</w:t>
      </w:r>
      <w:r>
        <w:rPr>
          <w:rFonts w:ascii="Arial" w:hAnsi="Arial" w:cs="Arial"/>
          <w:color w:val="000000" w:themeColor="text1"/>
          <w:sz w:val="20"/>
          <w:szCs w:val="20"/>
        </w:rPr>
        <w:t>- rany będące następstwem nieszczęśliwego wypadku;</w:t>
      </w:r>
    </w:p>
    <w:p w14:paraId="4BB76D81" w14:textId="6F4DA9F4" w:rsidR="00D41017" w:rsidRPr="00D41017" w:rsidRDefault="00D41017" w:rsidP="00D41017">
      <w:pPr>
        <w:pStyle w:val="wordsection1"/>
        <w:spacing w:before="0" w:beforeAutospacing="0" w:after="0" w:afterAutospacing="0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D41017">
        <w:rPr>
          <w:rFonts w:ascii="Arial" w:hAnsi="Arial" w:cs="Arial"/>
          <w:color w:val="FFFFFF" w:themeColor="background1"/>
          <w:sz w:val="20"/>
          <w:szCs w:val="20"/>
        </w:rPr>
        <w:t>X</w:t>
      </w:r>
      <w:r>
        <w:rPr>
          <w:rFonts w:ascii="Arial" w:hAnsi="Arial" w:cs="Arial"/>
          <w:color w:val="000000" w:themeColor="text1"/>
          <w:sz w:val="20"/>
          <w:szCs w:val="20"/>
        </w:rPr>
        <w:t>”</w:t>
      </w:r>
    </w:p>
    <w:p w14:paraId="7D38C216" w14:textId="731E3BF2" w:rsidR="004D2B5A" w:rsidRPr="006D60E6" w:rsidRDefault="0072733C" w:rsidP="003B7B7D">
      <w:pPr>
        <w:pStyle w:val="wordsection1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D4101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D2B5A" w:rsidRPr="006D60E6">
        <w:rPr>
          <w:rFonts w:ascii="Arial" w:hAnsi="Arial" w:cs="Arial"/>
          <w:color w:val="000000" w:themeColor="text1"/>
          <w:sz w:val="20"/>
          <w:szCs w:val="20"/>
        </w:rPr>
        <w:t xml:space="preserve">§ 6 pkt </w:t>
      </w:r>
      <w:r w:rsidR="00824460" w:rsidRPr="006D60E6">
        <w:rPr>
          <w:rFonts w:ascii="Arial" w:hAnsi="Arial" w:cs="Arial"/>
          <w:color w:val="000000" w:themeColor="text1"/>
          <w:sz w:val="20"/>
          <w:szCs w:val="20"/>
        </w:rPr>
        <w:t>5</w:t>
      </w:r>
      <w:r w:rsidR="002C352F" w:rsidRPr="006D60E6">
        <w:rPr>
          <w:rFonts w:ascii="Arial" w:hAnsi="Arial" w:cs="Arial"/>
          <w:color w:val="000000" w:themeColor="text1"/>
          <w:sz w:val="20"/>
          <w:szCs w:val="20"/>
        </w:rPr>
        <w:t>) otrzymuje brzmienie:</w:t>
      </w:r>
    </w:p>
    <w:p w14:paraId="677190B9" w14:textId="1F42488D" w:rsidR="003B7B7D" w:rsidRPr="006D60E6" w:rsidRDefault="00D879BB" w:rsidP="003B7B7D">
      <w:pPr>
        <w:pStyle w:val="wordsection1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D60E6">
        <w:rPr>
          <w:rFonts w:ascii="Arial" w:hAnsi="Arial" w:cs="Arial"/>
          <w:color w:val="000000" w:themeColor="text1"/>
          <w:sz w:val="20"/>
          <w:szCs w:val="20"/>
        </w:rPr>
        <w:t>„</w:t>
      </w:r>
      <w:r w:rsidR="00824460" w:rsidRPr="006D60E6">
        <w:rPr>
          <w:rFonts w:ascii="Arial" w:hAnsi="Arial" w:cs="Arial"/>
          <w:color w:val="000000" w:themeColor="text1"/>
          <w:sz w:val="20"/>
          <w:szCs w:val="20"/>
        </w:rPr>
        <w:t>5</w:t>
      </w:r>
      <w:r w:rsidR="002C352F" w:rsidRPr="006D60E6">
        <w:rPr>
          <w:rFonts w:ascii="Arial" w:hAnsi="Arial" w:cs="Arial"/>
          <w:color w:val="000000" w:themeColor="text1"/>
          <w:sz w:val="20"/>
          <w:szCs w:val="20"/>
        </w:rPr>
        <w:t>) w przypadku zdiagnozowania u Ubezpieczonego</w:t>
      </w:r>
      <w:r w:rsidR="00A85317" w:rsidRPr="006D60E6">
        <w:rPr>
          <w:rFonts w:ascii="Arial" w:hAnsi="Arial" w:cs="Arial"/>
          <w:color w:val="000000" w:themeColor="text1"/>
          <w:sz w:val="20"/>
          <w:szCs w:val="20"/>
        </w:rPr>
        <w:t xml:space="preserve"> sepsy</w:t>
      </w:r>
      <w:r w:rsidR="005F6EB8" w:rsidRPr="006D60E6">
        <w:rPr>
          <w:rFonts w:ascii="Arial" w:hAnsi="Arial" w:cs="Arial"/>
          <w:color w:val="000000" w:themeColor="text1"/>
          <w:sz w:val="20"/>
          <w:szCs w:val="20"/>
        </w:rPr>
        <w:t>, P</w:t>
      </w:r>
      <w:r w:rsidR="00A85317" w:rsidRPr="006D60E6">
        <w:rPr>
          <w:rFonts w:ascii="Arial" w:hAnsi="Arial" w:cs="Arial"/>
          <w:color w:val="000000" w:themeColor="text1"/>
          <w:sz w:val="20"/>
          <w:szCs w:val="20"/>
        </w:rPr>
        <w:t>oważnej Choroby</w:t>
      </w:r>
      <w:r w:rsidR="005F6EB8" w:rsidRPr="006D60E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85317" w:rsidRPr="006D60E6">
        <w:rPr>
          <w:rFonts w:ascii="Arial" w:hAnsi="Arial" w:cs="Arial"/>
          <w:color w:val="000000" w:themeColor="text1"/>
          <w:sz w:val="20"/>
          <w:szCs w:val="20"/>
        </w:rPr>
        <w:t xml:space="preserve">tj.: </w:t>
      </w:r>
      <w:r w:rsidR="002C352F" w:rsidRPr="006D60E6">
        <w:rPr>
          <w:rFonts w:ascii="Arial" w:hAnsi="Arial" w:cs="Arial"/>
          <w:color w:val="000000" w:themeColor="text1"/>
          <w:sz w:val="20"/>
          <w:szCs w:val="20"/>
        </w:rPr>
        <w:t xml:space="preserve"> nowotworu złośliwego, n</w:t>
      </w:r>
      <w:r w:rsidR="00A85317" w:rsidRPr="006D60E6">
        <w:rPr>
          <w:rFonts w:ascii="Arial" w:hAnsi="Arial" w:cs="Arial"/>
          <w:color w:val="000000" w:themeColor="text1"/>
          <w:sz w:val="20"/>
          <w:szCs w:val="20"/>
        </w:rPr>
        <w:t>iewydolności nerek, stwardnienia rozsianego</w:t>
      </w:r>
      <w:r w:rsidR="002C352F" w:rsidRPr="006D60E6">
        <w:rPr>
          <w:rFonts w:ascii="Arial" w:hAnsi="Arial" w:cs="Arial"/>
          <w:color w:val="000000" w:themeColor="text1"/>
          <w:sz w:val="20"/>
          <w:szCs w:val="20"/>
        </w:rPr>
        <w:t>, cukrzycy typu I, zapalenia opon mózgowo-rdzeniowych</w:t>
      </w:r>
      <w:r w:rsidR="00446FA2" w:rsidRPr="006D60E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C352F" w:rsidRPr="006D60E6">
        <w:rPr>
          <w:rFonts w:ascii="Arial" w:hAnsi="Arial" w:cs="Arial"/>
          <w:color w:val="000000" w:themeColor="text1"/>
          <w:sz w:val="20"/>
          <w:szCs w:val="20"/>
        </w:rPr>
        <w:t xml:space="preserve">– jednorazowe świadczenie w wysokości </w:t>
      </w:r>
      <w:r w:rsidR="007A73C6" w:rsidRPr="006D60E6">
        <w:rPr>
          <w:rFonts w:ascii="Arial" w:hAnsi="Arial" w:cs="Arial"/>
          <w:color w:val="000000" w:themeColor="text1"/>
          <w:sz w:val="20"/>
          <w:szCs w:val="20"/>
        </w:rPr>
        <w:t xml:space="preserve">10% sumy ubezpieczenia określonej w umowie ubezpieczenia, pod warunkiem, </w:t>
      </w:r>
      <w:r w:rsidR="005F6EB8" w:rsidRPr="006D60E6">
        <w:rPr>
          <w:rFonts w:ascii="Arial" w:hAnsi="Arial" w:cs="Arial"/>
          <w:color w:val="000000" w:themeColor="text1"/>
          <w:sz w:val="20"/>
          <w:szCs w:val="20"/>
        </w:rPr>
        <w:t>S</w:t>
      </w:r>
      <w:r w:rsidR="00A85317" w:rsidRPr="006D60E6">
        <w:rPr>
          <w:rFonts w:ascii="Arial" w:hAnsi="Arial" w:cs="Arial"/>
          <w:color w:val="000000" w:themeColor="text1"/>
          <w:sz w:val="20"/>
          <w:szCs w:val="20"/>
        </w:rPr>
        <w:t>epsa</w:t>
      </w:r>
      <w:r w:rsidR="005F6EB8" w:rsidRPr="006D60E6">
        <w:rPr>
          <w:rFonts w:ascii="Arial" w:hAnsi="Arial" w:cs="Arial"/>
          <w:color w:val="000000" w:themeColor="text1"/>
          <w:sz w:val="20"/>
          <w:szCs w:val="20"/>
        </w:rPr>
        <w:t xml:space="preserve"> lub </w:t>
      </w:r>
      <w:r w:rsidR="00A85317" w:rsidRPr="006D60E6">
        <w:rPr>
          <w:rFonts w:ascii="Arial" w:hAnsi="Arial" w:cs="Arial"/>
          <w:color w:val="000000" w:themeColor="text1"/>
          <w:sz w:val="20"/>
          <w:szCs w:val="20"/>
        </w:rPr>
        <w:t>Poważna Choroba</w:t>
      </w:r>
      <w:r w:rsidR="003634F1" w:rsidRPr="006D60E6">
        <w:rPr>
          <w:rFonts w:ascii="Arial" w:hAnsi="Arial" w:cs="Arial"/>
          <w:color w:val="000000" w:themeColor="text1"/>
          <w:sz w:val="20"/>
          <w:szCs w:val="20"/>
        </w:rPr>
        <w:t xml:space="preserve"> został</w:t>
      </w:r>
      <w:r w:rsidR="00A85317" w:rsidRPr="006D60E6">
        <w:rPr>
          <w:rFonts w:ascii="Arial" w:hAnsi="Arial" w:cs="Arial"/>
          <w:color w:val="000000" w:themeColor="text1"/>
          <w:sz w:val="20"/>
          <w:szCs w:val="20"/>
        </w:rPr>
        <w:t>a</w:t>
      </w:r>
      <w:r w:rsidR="003634F1" w:rsidRPr="006D60E6">
        <w:rPr>
          <w:rFonts w:ascii="Arial" w:hAnsi="Arial" w:cs="Arial"/>
          <w:color w:val="000000" w:themeColor="text1"/>
          <w:sz w:val="20"/>
          <w:szCs w:val="20"/>
        </w:rPr>
        <w:t xml:space="preserve"> zdiagnozowan</w:t>
      </w:r>
      <w:r w:rsidR="00A85317" w:rsidRPr="006D60E6">
        <w:rPr>
          <w:rFonts w:ascii="Arial" w:hAnsi="Arial" w:cs="Arial"/>
          <w:color w:val="000000" w:themeColor="text1"/>
          <w:sz w:val="20"/>
          <w:szCs w:val="20"/>
        </w:rPr>
        <w:t>a</w:t>
      </w:r>
      <w:r w:rsidR="003634F1" w:rsidRPr="006D60E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85317" w:rsidRPr="006D60E6">
        <w:rPr>
          <w:rFonts w:ascii="Arial" w:hAnsi="Arial" w:cs="Arial"/>
          <w:color w:val="000000" w:themeColor="text1"/>
          <w:sz w:val="20"/>
          <w:szCs w:val="20"/>
        </w:rPr>
        <w:t xml:space="preserve">u Ubezpieczonego </w:t>
      </w:r>
      <w:r w:rsidR="003634F1" w:rsidRPr="006D60E6">
        <w:rPr>
          <w:rFonts w:ascii="Arial" w:hAnsi="Arial" w:cs="Arial"/>
          <w:color w:val="000000" w:themeColor="text1"/>
          <w:sz w:val="20"/>
          <w:szCs w:val="20"/>
        </w:rPr>
        <w:t xml:space="preserve">po raz pierwszy w okresie trwania ochrony </w:t>
      </w:r>
      <w:r w:rsidR="00446FA2" w:rsidRPr="006D60E6">
        <w:rPr>
          <w:rFonts w:ascii="Arial" w:hAnsi="Arial" w:cs="Arial"/>
          <w:color w:val="000000" w:themeColor="text1"/>
          <w:sz w:val="20"/>
          <w:szCs w:val="20"/>
        </w:rPr>
        <w:t xml:space="preserve">ubezpieczeniowej; </w:t>
      </w:r>
    </w:p>
    <w:p w14:paraId="1D35C480" w14:textId="6FBC0876" w:rsidR="003634F1" w:rsidRDefault="003634F1" w:rsidP="00D41017">
      <w:pPr>
        <w:pStyle w:val="wordsection1"/>
        <w:spacing w:before="0" w:beforeAutospacing="0" w:after="0" w:afterAutospacing="0"/>
        <w:ind w:left="720"/>
        <w:jc w:val="right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598A9704" w14:textId="436DF23D" w:rsidR="00CC5159" w:rsidRPr="00D41017" w:rsidRDefault="00CC5159" w:rsidP="003B7B7D">
      <w:pPr>
        <w:pStyle w:val="wordsection1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bookmarkStart w:id="6" w:name="_Hlk72425784"/>
      <w:r w:rsidRPr="00D41017">
        <w:rPr>
          <w:rFonts w:ascii="Arial" w:hAnsi="Arial" w:cs="Arial"/>
          <w:color w:val="000000" w:themeColor="text1"/>
          <w:sz w:val="20"/>
          <w:szCs w:val="20"/>
        </w:rPr>
        <w:t xml:space="preserve">§ 6 pkt </w:t>
      </w:r>
      <w:r w:rsidR="00F353BE">
        <w:rPr>
          <w:rFonts w:ascii="Arial" w:hAnsi="Arial" w:cs="Arial"/>
          <w:color w:val="000000" w:themeColor="text1"/>
          <w:sz w:val="20"/>
          <w:szCs w:val="20"/>
        </w:rPr>
        <w:t>7</w:t>
      </w:r>
      <w:r w:rsidRPr="00D41017">
        <w:rPr>
          <w:rFonts w:ascii="Arial" w:hAnsi="Arial" w:cs="Arial"/>
          <w:color w:val="000000" w:themeColor="text1"/>
          <w:sz w:val="20"/>
          <w:szCs w:val="20"/>
        </w:rPr>
        <w:t>) otrzymuje brzmienie</w:t>
      </w:r>
      <w:bookmarkEnd w:id="6"/>
      <w:r w:rsidRPr="00D41017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16B665D0" w14:textId="5DC15BF1" w:rsidR="00CC5159" w:rsidRPr="00D41017" w:rsidRDefault="00CC5159" w:rsidP="003B7B7D">
      <w:pPr>
        <w:pStyle w:val="wordsection1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41017">
        <w:rPr>
          <w:rFonts w:ascii="Arial" w:hAnsi="Arial" w:cs="Arial"/>
          <w:bCs/>
          <w:color w:val="000000" w:themeColor="text1"/>
          <w:sz w:val="20"/>
          <w:szCs w:val="20"/>
        </w:rPr>
        <w:t>„</w:t>
      </w:r>
      <w:r w:rsidR="00F353BE">
        <w:rPr>
          <w:rFonts w:ascii="Arial" w:hAnsi="Arial" w:cs="Arial"/>
          <w:color w:val="000000" w:themeColor="text1"/>
          <w:sz w:val="20"/>
          <w:szCs w:val="20"/>
        </w:rPr>
        <w:t>7</w:t>
      </w:r>
      <w:r w:rsidRPr="00D41017">
        <w:rPr>
          <w:rFonts w:ascii="Arial" w:hAnsi="Arial" w:cs="Arial"/>
          <w:color w:val="000000" w:themeColor="text1"/>
          <w:sz w:val="20"/>
          <w:szCs w:val="20"/>
        </w:rPr>
        <w:t xml:space="preserve">) – w przypadku pogryzienia przez psa, pokąsania, ukąszenia/użądlenia – </w:t>
      </w:r>
    </w:p>
    <w:p w14:paraId="09AC7B3F" w14:textId="36BEC452" w:rsidR="00CC5159" w:rsidRDefault="00F353BE" w:rsidP="003B7B7D">
      <w:pPr>
        <w:pStyle w:val="wordsection1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j</w:t>
      </w:r>
      <w:r w:rsidR="00CC5159" w:rsidRPr="00D41017">
        <w:rPr>
          <w:rFonts w:ascii="Arial" w:hAnsi="Arial" w:cs="Arial"/>
          <w:color w:val="000000" w:themeColor="text1"/>
          <w:sz w:val="20"/>
          <w:szCs w:val="20"/>
        </w:rPr>
        <w:t>ednorazowe świadczenie w wysokości 1% sumy ubezpieczenia określonej w umowie ubezpieczenia, pod warunkiem skorzystania z pomocy medycznej</w:t>
      </w:r>
      <w:r w:rsidR="00D879BB">
        <w:rPr>
          <w:rFonts w:ascii="Arial" w:hAnsi="Arial" w:cs="Arial"/>
          <w:color w:val="000000" w:themeColor="text1"/>
          <w:sz w:val="20"/>
          <w:szCs w:val="20"/>
        </w:rPr>
        <w:t>,</w:t>
      </w:r>
      <w:r w:rsidR="00CC5159" w:rsidRPr="00D41017">
        <w:rPr>
          <w:rFonts w:ascii="Arial" w:hAnsi="Arial" w:cs="Arial"/>
          <w:color w:val="000000" w:themeColor="text1"/>
          <w:sz w:val="20"/>
          <w:szCs w:val="20"/>
        </w:rPr>
        <w:t xml:space="preserve"> leczenia ambulatoryjnego w placówce medycznej </w:t>
      </w:r>
      <w:r w:rsidR="0042003F" w:rsidRPr="00D41017">
        <w:rPr>
          <w:rFonts w:ascii="Arial" w:hAnsi="Arial" w:cs="Arial"/>
          <w:color w:val="000000" w:themeColor="text1"/>
          <w:sz w:val="20"/>
          <w:szCs w:val="20"/>
        </w:rPr>
        <w:t>i co najmniej jednej wizyty kontrolnej</w:t>
      </w:r>
      <w:r w:rsidR="00D879BB">
        <w:rPr>
          <w:rFonts w:ascii="Arial" w:hAnsi="Arial" w:cs="Arial"/>
          <w:color w:val="000000" w:themeColor="text1"/>
          <w:sz w:val="20"/>
          <w:szCs w:val="20"/>
        </w:rPr>
        <w:t>.”</w:t>
      </w:r>
    </w:p>
    <w:p w14:paraId="4F7E4771" w14:textId="77777777" w:rsidR="00ED5B98" w:rsidRDefault="00ED5B98" w:rsidP="003B7B7D">
      <w:pPr>
        <w:pStyle w:val="wordsection1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8093D67" w14:textId="3698E94E" w:rsidR="009C6C00" w:rsidRPr="00D41017" w:rsidRDefault="009C6C00" w:rsidP="009C6C00">
      <w:pPr>
        <w:pStyle w:val="wordsection1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bookmarkStart w:id="7" w:name="_Hlk72428595"/>
      <w:r w:rsidRPr="009C6C00">
        <w:rPr>
          <w:rFonts w:ascii="Arial" w:hAnsi="Arial" w:cs="Arial"/>
          <w:b/>
          <w:bCs/>
          <w:color w:val="000000" w:themeColor="text1"/>
          <w:sz w:val="20"/>
          <w:szCs w:val="20"/>
        </w:rPr>
        <w:t>§ 6</w:t>
      </w:r>
      <w:bookmarkEnd w:id="7"/>
      <w:r w:rsidRPr="009C6C0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 - dodaje się p</w:t>
      </w:r>
      <w:r w:rsidR="007A73C6">
        <w:rPr>
          <w:rFonts w:ascii="Arial" w:hAnsi="Arial" w:cs="Arial"/>
          <w:b/>
          <w:bCs/>
          <w:color w:val="000000" w:themeColor="text1"/>
          <w:sz w:val="20"/>
          <w:szCs w:val="20"/>
        </w:rPr>
        <w:t>kt</w:t>
      </w:r>
      <w:r w:rsidRPr="009C6C0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11</w:t>
      </w:r>
      <w:r>
        <w:rPr>
          <w:rFonts w:ascii="Arial" w:hAnsi="Arial" w:cs="Arial"/>
          <w:color w:val="000000" w:themeColor="text1"/>
          <w:sz w:val="20"/>
          <w:szCs w:val="20"/>
        </w:rPr>
        <w:t>, któr</w:t>
      </w:r>
      <w:r w:rsidR="007A73C6">
        <w:rPr>
          <w:rFonts w:ascii="Arial" w:hAnsi="Arial" w:cs="Arial"/>
          <w:color w:val="000000" w:themeColor="text1"/>
          <w:sz w:val="20"/>
          <w:szCs w:val="20"/>
        </w:rPr>
        <w:t>y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otrzymuje brzmienie: </w:t>
      </w:r>
    </w:p>
    <w:p w14:paraId="46CA3943" w14:textId="5944CFEF" w:rsidR="00D41017" w:rsidRDefault="009C6C00" w:rsidP="005A4655">
      <w:pPr>
        <w:pStyle w:val="wordsection1"/>
        <w:spacing w:before="0" w:beforeAutospacing="0" w:after="0" w:afterAutospacing="0"/>
        <w:ind w:left="72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„</w:t>
      </w:r>
      <w:r w:rsidR="007A73C6" w:rsidRPr="009C6C00">
        <w:rPr>
          <w:rFonts w:ascii="Arial" w:hAnsi="Arial" w:cs="Arial"/>
          <w:b/>
          <w:bCs/>
          <w:color w:val="000000" w:themeColor="text1"/>
          <w:sz w:val="20"/>
          <w:szCs w:val="20"/>
        </w:rPr>
        <w:t>§ 6</w:t>
      </w:r>
      <w:r w:rsidR="00425E1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pkt </w:t>
      </w:r>
      <w:r w:rsidRPr="00425E15">
        <w:rPr>
          <w:rFonts w:ascii="Arial" w:hAnsi="Arial" w:cs="Arial"/>
          <w:b/>
          <w:color w:val="000000" w:themeColor="text1"/>
          <w:sz w:val="20"/>
          <w:szCs w:val="20"/>
        </w:rPr>
        <w:t>11)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w przypadku ran będących następstwem nieszczęśliwego wypadku </w:t>
      </w:r>
      <w:r w:rsidR="00425E15">
        <w:rPr>
          <w:rFonts w:ascii="Arial" w:hAnsi="Arial" w:cs="Arial"/>
          <w:bCs/>
          <w:color w:val="000000" w:themeColor="text1"/>
          <w:sz w:val="20"/>
          <w:szCs w:val="20"/>
        </w:rPr>
        <w:br/>
      </w:r>
      <w:r w:rsidR="00524838">
        <w:rPr>
          <w:rFonts w:ascii="Arial" w:hAnsi="Arial" w:cs="Arial"/>
          <w:bCs/>
          <w:color w:val="000000" w:themeColor="text1"/>
          <w:sz w:val="20"/>
          <w:szCs w:val="20"/>
        </w:rPr>
        <w:t xml:space="preserve">– jeżeli w ciągu okresu ubezpieczenia Ubezpieczony dozna rany w następstwie nieszczęśliwego wypadku i zostanie poddany </w:t>
      </w:r>
      <w:r w:rsidR="00524838" w:rsidRPr="00524838">
        <w:rPr>
          <w:rFonts w:ascii="Arial" w:hAnsi="Arial" w:cs="Arial"/>
          <w:b/>
          <w:color w:val="000000" w:themeColor="text1"/>
          <w:sz w:val="20"/>
          <w:szCs w:val="20"/>
        </w:rPr>
        <w:t>zabiegowi założenia co najmniej dwóch szwów</w:t>
      </w:r>
      <w:r w:rsidR="00524838">
        <w:rPr>
          <w:rFonts w:ascii="Arial" w:hAnsi="Arial" w:cs="Arial"/>
          <w:bCs/>
          <w:color w:val="000000" w:themeColor="text1"/>
          <w:sz w:val="20"/>
          <w:szCs w:val="20"/>
        </w:rPr>
        <w:t xml:space="preserve"> (szycie rany)- przysługuje jednorazowe świadczenie w wysokości 1% sumy ubezpieczenia określonej w umowie ubezpieczenia. </w:t>
      </w:r>
    </w:p>
    <w:p w14:paraId="77FEB403" w14:textId="77777777" w:rsidR="009C6C00" w:rsidRPr="00D41017" w:rsidRDefault="009C6C00" w:rsidP="005A4655">
      <w:pPr>
        <w:pStyle w:val="wordsection1"/>
        <w:spacing w:before="0" w:beforeAutospacing="0" w:after="0" w:afterAutospacing="0"/>
        <w:ind w:left="72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5F945640" w14:textId="7C82FBC7" w:rsidR="00FD439F" w:rsidRPr="00D41017" w:rsidRDefault="00FD439F" w:rsidP="00CC5159">
      <w:pPr>
        <w:pStyle w:val="wordsection1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D41017">
        <w:rPr>
          <w:rFonts w:ascii="Arial" w:hAnsi="Arial" w:cs="Arial"/>
          <w:color w:val="000000" w:themeColor="text1"/>
          <w:sz w:val="20"/>
          <w:szCs w:val="20"/>
        </w:rPr>
        <w:t xml:space="preserve">§ 11 ust. 1 pkt. 4) otrzymuje brzmienie: </w:t>
      </w:r>
    </w:p>
    <w:p w14:paraId="3EFFB6C5" w14:textId="77777777" w:rsidR="00425E15" w:rsidRDefault="00FD439F" w:rsidP="003B7B7D">
      <w:pPr>
        <w:pStyle w:val="wordsection1"/>
        <w:autoSpaceDE w:val="0"/>
        <w:autoSpaceDN w:val="0"/>
        <w:spacing w:before="0" w:beforeAutospacing="0" w:after="0" w:afterAutospacing="0" w:line="276" w:lineRule="auto"/>
        <w:ind w:left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41017">
        <w:rPr>
          <w:rFonts w:ascii="Arial" w:hAnsi="Arial" w:cs="Arial"/>
          <w:color w:val="000000" w:themeColor="text1"/>
          <w:sz w:val="20"/>
          <w:szCs w:val="20"/>
        </w:rPr>
        <w:t xml:space="preserve">„4) </w:t>
      </w:r>
      <w:r w:rsidRPr="003B7B7D">
        <w:rPr>
          <w:rFonts w:ascii="Arial" w:hAnsi="Arial" w:cs="Arial"/>
          <w:b/>
          <w:color w:val="000000" w:themeColor="text1"/>
          <w:sz w:val="20"/>
          <w:szCs w:val="20"/>
        </w:rPr>
        <w:t>Opcja Dodatkowa D4</w:t>
      </w:r>
      <w:r w:rsidR="003B7B7D" w:rsidRPr="003B7B7D">
        <w:rPr>
          <w:rFonts w:ascii="Arial" w:hAnsi="Arial" w:cs="Arial"/>
          <w:b/>
          <w:color w:val="000000" w:themeColor="text1"/>
          <w:sz w:val="20"/>
          <w:szCs w:val="20"/>
        </w:rPr>
        <w:t xml:space="preserve"> – pobyt w szpitalu w wyniku nieszczęśliwego wypadku</w:t>
      </w:r>
      <w:r w:rsidR="003B7B7D" w:rsidRPr="003B7B7D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3B7B7D" w:rsidRPr="003B7B7D">
        <w:rPr>
          <w:rFonts w:ascii="Arial" w:hAnsi="Arial" w:cs="Arial"/>
          <w:color w:val="000000" w:themeColor="text1"/>
          <w:sz w:val="20"/>
          <w:szCs w:val="20"/>
        </w:rPr>
        <w:t xml:space="preserve">– świadczenie w wysokości określonej </w:t>
      </w:r>
      <w:r w:rsidR="00425E15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5132C726" w14:textId="77777777" w:rsidR="00425E15" w:rsidRPr="00425E15" w:rsidRDefault="003B7B7D" w:rsidP="00425E15">
      <w:pPr>
        <w:pStyle w:val="wordsection1"/>
        <w:numPr>
          <w:ilvl w:val="0"/>
          <w:numId w:val="26"/>
        </w:numPr>
        <w:autoSpaceDE w:val="0"/>
        <w:autoSpaceDN w:val="0"/>
        <w:spacing w:before="0" w:beforeAutospacing="0" w:after="0" w:afterAutospacing="0" w:line="276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3B7B7D">
        <w:rPr>
          <w:rFonts w:ascii="Arial" w:hAnsi="Arial" w:cs="Arial"/>
          <w:color w:val="000000" w:themeColor="text1"/>
          <w:sz w:val="20"/>
          <w:szCs w:val="20"/>
        </w:rPr>
        <w:t>1</w:t>
      </w:r>
      <w:r w:rsidR="00425E15">
        <w:rPr>
          <w:rFonts w:ascii="Arial" w:hAnsi="Arial" w:cs="Arial"/>
          <w:color w:val="000000" w:themeColor="text1"/>
          <w:sz w:val="20"/>
          <w:szCs w:val="20"/>
        </w:rPr>
        <w:t xml:space="preserve">,5 </w:t>
      </w:r>
      <w:r w:rsidRPr="003B7B7D">
        <w:rPr>
          <w:rFonts w:ascii="Arial" w:hAnsi="Arial" w:cs="Arial"/>
          <w:color w:val="000000" w:themeColor="text1"/>
          <w:sz w:val="20"/>
          <w:szCs w:val="20"/>
        </w:rPr>
        <w:t xml:space="preserve">% </w:t>
      </w:r>
      <w:bookmarkStart w:id="8" w:name="_Hlk72428883"/>
      <w:bookmarkStart w:id="9" w:name="_Hlk72429913"/>
      <w:r w:rsidRPr="003B7B7D">
        <w:rPr>
          <w:rFonts w:ascii="Arial" w:hAnsi="Arial" w:cs="Arial"/>
          <w:color w:val="000000" w:themeColor="text1"/>
          <w:sz w:val="20"/>
          <w:szCs w:val="20"/>
        </w:rPr>
        <w:t xml:space="preserve">sumy ubezpieczenia określonej w umowie ubezpieczenia </w:t>
      </w:r>
      <w:bookmarkEnd w:id="9"/>
      <w:r w:rsidRPr="003B7B7D">
        <w:rPr>
          <w:rFonts w:ascii="Arial" w:hAnsi="Arial" w:cs="Arial"/>
          <w:color w:val="000000" w:themeColor="text1"/>
          <w:sz w:val="20"/>
          <w:szCs w:val="20"/>
        </w:rPr>
        <w:t>dla Opcji Dodatkowej D4 ,</w:t>
      </w:r>
      <w:r w:rsidR="00425E15" w:rsidRPr="00425E15">
        <w:rPr>
          <w:rFonts w:ascii="Arial" w:hAnsi="Arial" w:cs="Arial"/>
          <w:sz w:val="14"/>
          <w:szCs w:val="14"/>
        </w:rPr>
        <w:t xml:space="preserve"> </w:t>
      </w:r>
      <w:bookmarkStart w:id="10" w:name="_Hlk72429940"/>
      <w:r w:rsidR="00425E15" w:rsidRPr="00425E15">
        <w:rPr>
          <w:rFonts w:ascii="Arial" w:hAnsi="Arial" w:cs="Arial"/>
          <w:sz w:val="20"/>
          <w:szCs w:val="20"/>
        </w:rPr>
        <w:t>płatne od 1-go do 10-go dnia pobytu w szpitalu</w:t>
      </w:r>
      <w:bookmarkEnd w:id="8"/>
      <w:bookmarkEnd w:id="10"/>
      <w:r w:rsidR="00425E15">
        <w:rPr>
          <w:rFonts w:ascii="Arial" w:hAnsi="Arial" w:cs="Arial"/>
          <w:sz w:val="20"/>
          <w:szCs w:val="20"/>
        </w:rPr>
        <w:t>;</w:t>
      </w:r>
    </w:p>
    <w:p w14:paraId="76490368" w14:textId="77777777" w:rsidR="00425E15" w:rsidRPr="00425E15" w:rsidRDefault="00425E15" w:rsidP="00425E15">
      <w:pPr>
        <w:pStyle w:val="wordsection1"/>
        <w:numPr>
          <w:ilvl w:val="0"/>
          <w:numId w:val="26"/>
        </w:numPr>
        <w:autoSpaceDE w:val="0"/>
        <w:autoSpaceDN w:val="0"/>
        <w:spacing w:before="0" w:beforeAutospacing="0" w:after="0" w:afterAutospacing="0" w:line="276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1% </w:t>
      </w:r>
      <w:r w:rsidRPr="003B7B7D">
        <w:rPr>
          <w:rFonts w:ascii="Arial" w:hAnsi="Arial" w:cs="Arial"/>
          <w:color w:val="000000" w:themeColor="text1"/>
          <w:sz w:val="20"/>
          <w:szCs w:val="20"/>
        </w:rPr>
        <w:t>sumy ubezpieczenia określonej w umowie ubezpieczenia dla Opcji Dodatkowej D4 ,</w:t>
      </w:r>
      <w:r w:rsidRPr="00425E15">
        <w:rPr>
          <w:rFonts w:ascii="Arial" w:hAnsi="Arial" w:cs="Arial"/>
          <w:sz w:val="14"/>
          <w:szCs w:val="14"/>
        </w:rPr>
        <w:t xml:space="preserve"> </w:t>
      </w:r>
      <w:r w:rsidRPr="00425E15">
        <w:rPr>
          <w:rFonts w:ascii="Arial" w:hAnsi="Arial" w:cs="Arial"/>
          <w:sz w:val="20"/>
          <w:szCs w:val="20"/>
        </w:rPr>
        <w:t>płatne od 1</w:t>
      </w:r>
      <w:r>
        <w:rPr>
          <w:rFonts w:ascii="Arial" w:hAnsi="Arial" w:cs="Arial"/>
          <w:sz w:val="20"/>
          <w:szCs w:val="20"/>
        </w:rPr>
        <w:t>1</w:t>
      </w:r>
      <w:r w:rsidRPr="00425E15">
        <w:rPr>
          <w:rFonts w:ascii="Arial" w:hAnsi="Arial" w:cs="Arial"/>
          <w:sz w:val="20"/>
          <w:szCs w:val="20"/>
        </w:rPr>
        <w:t>-go  dnia pobytu w szpitalu</w:t>
      </w:r>
      <w:r>
        <w:rPr>
          <w:rFonts w:ascii="Arial" w:hAnsi="Arial" w:cs="Arial"/>
          <w:sz w:val="20"/>
          <w:szCs w:val="20"/>
        </w:rPr>
        <w:t>;</w:t>
      </w:r>
    </w:p>
    <w:p w14:paraId="0D4A8C23" w14:textId="6BC49FE9" w:rsidR="003B7B7D" w:rsidRPr="003B7B7D" w:rsidRDefault="00425E15" w:rsidP="00425E15">
      <w:pPr>
        <w:pStyle w:val="wordsection1"/>
        <w:autoSpaceDE w:val="0"/>
        <w:autoSpaceDN w:val="0"/>
        <w:spacing w:before="0" w:beforeAutospacing="0" w:after="0" w:afterAutospacing="0" w:line="276" w:lineRule="auto"/>
        <w:ind w:left="708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3B7B7D" w:rsidRPr="003B7B7D">
        <w:rPr>
          <w:rFonts w:ascii="Arial" w:hAnsi="Arial" w:cs="Arial"/>
          <w:color w:val="000000" w:themeColor="text1"/>
          <w:sz w:val="20"/>
          <w:szCs w:val="20"/>
        </w:rPr>
        <w:t xml:space="preserve"> za każdy</w:t>
      </w:r>
      <w:r w:rsidR="003B7B7D" w:rsidRPr="003B7B7D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3B7B7D" w:rsidRPr="003B7B7D">
        <w:rPr>
          <w:rFonts w:ascii="Arial" w:hAnsi="Arial" w:cs="Arial"/>
          <w:color w:val="000000" w:themeColor="text1"/>
          <w:sz w:val="20"/>
          <w:szCs w:val="20"/>
        </w:rPr>
        <w:t>dzień pobytu Ubezpieczonego w szpitalu, począwszy od pierwszego dnia pobytu</w:t>
      </w:r>
      <w:r w:rsidR="003B7B7D" w:rsidRPr="003B7B7D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3B7B7D" w:rsidRPr="003B7B7D">
        <w:rPr>
          <w:rFonts w:ascii="Arial" w:hAnsi="Arial" w:cs="Arial"/>
          <w:color w:val="000000" w:themeColor="text1"/>
          <w:sz w:val="20"/>
          <w:szCs w:val="20"/>
        </w:rPr>
        <w:t>w szpitalu, będącego następstwem nieszczęśliwego wypadku który miała miejsce w okresie trwania ochrony ubezpieczeniowej,  pod warunkiem pobytu w szpitalu  trwającego minimum 2 dni. W przypadku kolejnych, następujących</w:t>
      </w:r>
      <w:r w:rsidR="003B7B7D" w:rsidRPr="003B7B7D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3B7B7D" w:rsidRPr="003B7B7D">
        <w:rPr>
          <w:rFonts w:ascii="Arial" w:hAnsi="Arial" w:cs="Arial"/>
          <w:color w:val="000000" w:themeColor="text1"/>
          <w:sz w:val="20"/>
          <w:szCs w:val="20"/>
        </w:rPr>
        <w:t>po sobie pobytów w szpitalu w związku z tym samym nieszczęśliwym wypadkiem</w:t>
      </w:r>
      <w:r w:rsidR="003B7B7D" w:rsidRPr="003B7B7D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3B7B7D" w:rsidRPr="003B7B7D">
        <w:rPr>
          <w:rFonts w:ascii="Arial" w:hAnsi="Arial" w:cs="Arial"/>
          <w:color w:val="000000" w:themeColor="text1"/>
          <w:sz w:val="20"/>
          <w:szCs w:val="20"/>
        </w:rPr>
        <w:t>świadczenie szpitalne przysługuje od pierwszego dnia pobytu w szpitalu.</w:t>
      </w:r>
      <w:r w:rsidR="003B7B7D" w:rsidRPr="003B7B7D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3B7B7D" w:rsidRPr="003B7B7D">
        <w:rPr>
          <w:rFonts w:ascii="Arial" w:hAnsi="Arial" w:cs="Arial"/>
          <w:color w:val="000000" w:themeColor="text1"/>
          <w:sz w:val="20"/>
          <w:szCs w:val="20"/>
        </w:rPr>
        <w:t>Świadczenie z tytułu pobytu w szpitalu w wyniku nieszczęśliwego wypadku przysługuje</w:t>
      </w:r>
      <w:r w:rsidR="003B7B7D" w:rsidRPr="003B7B7D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3B7B7D" w:rsidRPr="003B7B7D">
        <w:rPr>
          <w:rFonts w:ascii="Arial" w:hAnsi="Arial" w:cs="Arial"/>
          <w:color w:val="000000" w:themeColor="text1"/>
          <w:sz w:val="20"/>
          <w:szCs w:val="20"/>
        </w:rPr>
        <w:t>maksymalnie za 1</w:t>
      </w:r>
      <w:r>
        <w:rPr>
          <w:rFonts w:ascii="Arial" w:hAnsi="Arial" w:cs="Arial"/>
          <w:color w:val="000000" w:themeColor="text1"/>
          <w:sz w:val="20"/>
          <w:szCs w:val="20"/>
        </w:rPr>
        <w:t>2</w:t>
      </w:r>
      <w:r w:rsidR="003B7B7D" w:rsidRPr="003B7B7D">
        <w:rPr>
          <w:rFonts w:ascii="Arial" w:hAnsi="Arial" w:cs="Arial"/>
          <w:color w:val="000000" w:themeColor="text1"/>
          <w:sz w:val="20"/>
          <w:szCs w:val="20"/>
        </w:rPr>
        <w:t>0 dni pobytu Ubezpieczonego w szpitalu. Gdy wypis ze</w:t>
      </w:r>
      <w:r w:rsidR="003B7B7D" w:rsidRPr="003B7B7D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3B7B7D" w:rsidRPr="003B7B7D">
        <w:rPr>
          <w:rFonts w:ascii="Arial" w:hAnsi="Arial" w:cs="Arial"/>
          <w:color w:val="000000" w:themeColor="text1"/>
          <w:sz w:val="20"/>
          <w:szCs w:val="20"/>
        </w:rPr>
        <w:t>szpitala nastąpi po zakończeniu okresu ubezpieczenia pobyt w szpitalu jest objęty</w:t>
      </w:r>
      <w:r w:rsidR="003B7B7D" w:rsidRPr="003B7B7D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3B7B7D" w:rsidRPr="003B7B7D">
        <w:rPr>
          <w:rFonts w:ascii="Arial" w:hAnsi="Arial" w:cs="Arial"/>
          <w:color w:val="000000" w:themeColor="text1"/>
          <w:sz w:val="20"/>
          <w:szCs w:val="20"/>
        </w:rPr>
        <w:t>odpowiedzialnością Ubezpieczyciela, pod warunkiem, że przyjęcie do szpitala nastąpiło w okresie ubezpieczenia;”</w:t>
      </w:r>
    </w:p>
    <w:p w14:paraId="600F10F1" w14:textId="77777777" w:rsidR="001307E4" w:rsidRPr="00D41017" w:rsidRDefault="001307E4" w:rsidP="00FD439F">
      <w:pPr>
        <w:pStyle w:val="wordsection1"/>
        <w:spacing w:before="0" w:beforeAutospacing="0" w:after="0" w:afterAutospacing="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35B15E00" w14:textId="77777777" w:rsidR="00FD439F" w:rsidRPr="00D41017" w:rsidRDefault="00FD439F" w:rsidP="00CC5159">
      <w:pPr>
        <w:pStyle w:val="wordsection1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bookmarkStart w:id="11" w:name="_Hlk7993744"/>
      <w:r w:rsidRPr="00D41017">
        <w:rPr>
          <w:rFonts w:ascii="Arial" w:hAnsi="Arial" w:cs="Arial"/>
          <w:color w:val="000000" w:themeColor="text1"/>
          <w:sz w:val="20"/>
          <w:szCs w:val="20"/>
        </w:rPr>
        <w:t>§ 11 ust. 1 pkt. 5) otrzymuje brzmienie:</w:t>
      </w:r>
    </w:p>
    <w:bookmarkEnd w:id="11"/>
    <w:p w14:paraId="316C0242" w14:textId="77777777" w:rsidR="00C06B40" w:rsidRDefault="003B7B7D" w:rsidP="00351572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3B7B7D">
        <w:rPr>
          <w:rFonts w:ascii="Arial" w:hAnsi="Arial" w:cs="Arial"/>
          <w:color w:val="000000" w:themeColor="text1"/>
          <w:sz w:val="20"/>
          <w:szCs w:val="20"/>
        </w:rPr>
        <w:t xml:space="preserve">„5) </w:t>
      </w:r>
      <w:r w:rsidRPr="003B7B7D">
        <w:rPr>
          <w:rFonts w:ascii="Arial" w:hAnsi="Arial" w:cs="Arial"/>
          <w:b/>
          <w:color w:val="000000" w:themeColor="text1"/>
          <w:sz w:val="20"/>
          <w:szCs w:val="20"/>
        </w:rPr>
        <w:t>Opcja Dodatkowa D5 – pobyt w szpitalu w wyniku choroby</w:t>
      </w:r>
      <w:r w:rsidR="00351572">
        <w:rPr>
          <w:rFonts w:ascii="Arial" w:hAnsi="Arial" w:cs="Arial"/>
          <w:b/>
          <w:color w:val="000000" w:themeColor="text1"/>
          <w:sz w:val="20"/>
          <w:szCs w:val="20"/>
        </w:rPr>
        <w:br/>
      </w:r>
      <w:r w:rsidRPr="003B7B7D">
        <w:rPr>
          <w:rFonts w:ascii="Arial" w:hAnsi="Arial" w:cs="Arial"/>
          <w:sz w:val="20"/>
          <w:szCs w:val="20"/>
        </w:rPr>
        <w:t>świadczenie w wysokości  określonej w umowie ubezpieczenia</w:t>
      </w:r>
    </w:p>
    <w:p w14:paraId="63E50103" w14:textId="6787A0EF" w:rsidR="00C06B40" w:rsidRDefault="00C06B40" w:rsidP="00C06B4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1,5% </w:t>
      </w:r>
      <w:r w:rsidRPr="003B7B7D">
        <w:rPr>
          <w:rFonts w:ascii="Arial" w:hAnsi="Arial" w:cs="Arial"/>
          <w:color w:val="000000" w:themeColor="text1"/>
          <w:sz w:val="20"/>
          <w:szCs w:val="20"/>
        </w:rPr>
        <w:t>sumy ubezpieczenia określonej w umowie ubezpieczenia</w:t>
      </w:r>
      <w:r w:rsidR="003B7B7D" w:rsidRPr="00C06B40">
        <w:rPr>
          <w:rFonts w:ascii="Arial" w:hAnsi="Arial" w:cs="Arial"/>
          <w:sz w:val="20"/>
          <w:szCs w:val="20"/>
        </w:rPr>
        <w:t xml:space="preserve"> dla Opcji Dodatkowej D5,</w:t>
      </w:r>
      <w:r w:rsidRPr="00C06B40">
        <w:rPr>
          <w:rFonts w:ascii="Arial" w:hAnsi="Arial" w:cs="Arial"/>
          <w:sz w:val="20"/>
          <w:szCs w:val="20"/>
        </w:rPr>
        <w:t xml:space="preserve"> </w:t>
      </w:r>
      <w:r w:rsidRPr="00425E15">
        <w:rPr>
          <w:rFonts w:ascii="Arial" w:hAnsi="Arial" w:cs="Arial"/>
          <w:sz w:val="20"/>
          <w:szCs w:val="20"/>
        </w:rPr>
        <w:t xml:space="preserve">płatne od </w:t>
      </w:r>
      <w:r>
        <w:rPr>
          <w:rFonts w:ascii="Arial" w:hAnsi="Arial" w:cs="Arial"/>
          <w:sz w:val="20"/>
          <w:szCs w:val="20"/>
        </w:rPr>
        <w:t>2</w:t>
      </w:r>
      <w:r w:rsidRPr="00425E15">
        <w:rPr>
          <w:rFonts w:ascii="Arial" w:hAnsi="Arial" w:cs="Arial"/>
          <w:sz w:val="20"/>
          <w:szCs w:val="20"/>
        </w:rPr>
        <w:t>-go do 10-go dnia pobytu w szpitalu</w:t>
      </w:r>
    </w:p>
    <w:p w14:paraId="6A288A22" w14:textId="359662B6" w:rsidR="00C06B40" w:rsidRDefault="003B7B7D" w:rsidP="00C06B4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06B40">
        <w:rPr>
          <w:rFonts w:ascii="Arial" w:hAnsi="Arial" w:cs="Arial"/>
          <w:sz w:val="20"/>
          <w:szCs w:val="20"/>
        </w:rPr>
        <w:t xml:space="preserve"> </w:t>
      </w:r>
      <w:r w:rsidR="00C06B40">
        <w:rPr>
          <w:rFonts w:ascii="Arial" w:hAnsi="Arial" w:cs="Arial"/>
          <w:sz w:val="20"/>
          <w:szCs w:val="20"/>
        </w:rPr>
        <w:t>1% sumy ubezpieczenia określonej w umowie ubezpieczenia dla Opcji Dodatkowej D5, płatne od 11-go dnia pobytu w szpitalu;</w:t>
      </w:r>
    </w:p>
    <w:p w14:paraId="54F3D9D1" w14:textId="54B80C4C" w:rsidR="003B7B7D" w:rsidRDefault="00C06B40" w:rsidP="00C06B40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C06B40">
        <w:rPr>
          <w:rFonts w:ascii="Arial" w:hAnsi="Arial" w:cs="Arial"/>
          <w:sz w:val="20"/>
          <w:szCs w:val="20"/>
        </w:rPr>
        <w:t xml:space="preserve">-  </w:t>
      </w:r>
      <w:r w:rsidR="003B7B7D" w:rsidRPr="00C06B40">
        <w:rPr>
          <w:rFonts w:ascii="Arial" w:hAnsi="Arial" w:cs="Arial"/>
          <w:sz w:val="20"/>
          <w:szCs w:val="20"/>
        </w:rPr>
        <w:t>w związku z chorobą, która została rozpoznana w trakcie trwania ochrony ubezpieczeniowej</w:t>
      </w:r>
      <w:r>
        <w:rPr>
          <w:rFonts w:ascii="Arial" w:hAnsi="Arial" w:cs="Arial"/>
          <w:sz w:val="20"/>
          <w:szCs w:val="20"/>
        </w:rPr>
        <w:t xml:space="preserve"> oraz pod warunkiem 3 dniowego pobytu Ubezpieczonego w szpitalu.</w:t>
      </w:r>
      <w:r w:rsidR="003B7B7D" w:rsidRPr="00C06B40">
        <w:rPr>
          <w:rFonts w:ascii="Arial" w:hAnsi="Arial" w:cs="Arial"/>
          <w:sz w:val="20"/>
          <w:szCs w:val="20"/>
        </w:rPr>
        <w:t xml:space="preserve"> W przypadku kolejnych, następujących po sobie pobytów w szpitalu w związku z tą samą chorobą świadczenie szpitalne przysługuje od pierwszego dnia pobytu w szpitalu.</w:t>
      </w:r>
      <w:r w:rsidR="00351572" w:rsidRPr="00C06B40">
        <w:rPr>
          <w:rFonts w:ascii="Arial" w:hAnsi="Arial" w:cs="Arial"/>
          <w:sz w:val="20"/>
          <w:szCs w:val="20"/>
        </w:rPr>
        <w:t xml:space="preserve"> </w:t>
      </w:r>
      <w:r w:rsidR="003B7B7D" w:rsidRPr="00C06B40">
        <w:rPr>
          <w:rFonts w:ascii="Arial" w:hAnsi="Arial" w:cs="Arial"/>
          <w:sz w:val="20"/>
          <w:szCs w:val="20"/>
        </w:rPr>
        <w:t>Świadczenie z tytułu pobytu w szpitalu w wyniku choroby przysługuje maksymalnie za 100</w:t>
      </w:r>
      <w:r w:rsidR="00351572" w:rsidRPr="00C06B40">
        <w:rPr>
          <w:rFonts w:ascii="Arial" w:hAnsi="Arial" w:cs="Arial"/>
          <w:sz w:val="20"/>
          <w:szCs w:val="20"/>
        </w:rPr>
        <w:t xml:space="preserve"> </w:t>
      </w:r>
      <w:r w:rsidR="003B7B7D" w:rsidRPr="00C06B40">
        <w:rPr>
          <w:rFonts w:ascii="Arial" w:hAnsi="Arial" w:cs="Arial"/>
          <w:sz w:val="20"/>
          <w:szCs w:val="20"/>
        </w:rPr>
        <w:t>dni pobytu w szpitalu. Gdy wypis ze szpitala nastąpi po zakończeniu okresu ubezpieczenia</w:t>
      </w:r>
      <w:r>
        <w:rPr>
          <w:rFonts w:ascii="Arial" w:hAnsi="Arial" w:cs="Arial"/>
          <w:sz w:val="20"/>
          <w:szCs w:val="20"/>
        </w:rPr>
        <w:t xml:space="preserve"> </w:t>
      </w:r>
      <w:r w:rsidR="003B7B7D" w:rsidRPr="00C06B40">
        <w:rPr>
          <w:rFonts w:ascii="Arial" w:hAnsi="Arial" w:cs="Arial"/>
          <w:sz w:val="20"/>
          <w:szCs w:val="20"/>
        </w:rPr>
        <w:t>pobyt w szpitalu jest objęty odpowiedzialnością Ubezpieczyciela, pod warunkiem, że przyjęcie do szpitala nastąpiło w okresie ubezpieczenia,</w:t>
      </w:r>
    </w:p>
    <w:p w14:paraId="7741E70B" w14:textId="77777777" w:rsidR="00351572" w:rsidRPr="00D41017" w:rsidRDefault="00351572" w:rsidP="00351572">
      <w:pPr>
        <w:pStyle w:val="wordsection1"/>
        <w:autoSpaceDE w:val="0"/>
        <w:autoSpaceDN w:val="0"/>
        <w:spacing w:before="0" w:beforeAutospacing="0" w:after="0" w:afterAutospacing="0" w:line="276" w:lineRule="auto"/>
        <w:ind w:left="1080"/>
        <w:rPr>
          <w:rFonts w:ascii="Arial" w:hAnsi="Arial" w:cs="Arial"/>
          <w:color w:val="000000" w:themeColor="text1"/>
          <w:sz w:val="20"/>
          <w:szCs w:val="20"/>
        </w:rPr>
      </w:pPr>
    </w:p>
    <w:p w14:paraId="418BE922" w14:textId="77777777" w:rsidR="00351572" w:rsidRPr="00351572" w:rsidRDefault="00466FF9" w:rsidP="00351572">
      <w:pPr>
        <w:pStyle w:val="wordsection1"/>
        <w:numPr>
          <w:ilvl w:val="0"/>
          <w:numId w:val="1"/>
        </w:numPr>
        <w:autoSpaceDE w:val="0"/>
        <w:autoSpaceDN w:val="0"/>
        <w:spacing w:before="0" w:beforeAutospacing="0" w:after="0" w:afterAutospacing="0" w:line="276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 w:rsidRPr="00D4101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51572" w:rsidRPr="00351572">
        <w:rPr>
          <w:rFonts w:ascii="Arial" w:hAnsi="Arial" w:cs="Arial"/>
          <w:color w:val="000000" w:themeColor="text1"/>
          <w:sz w:val="20"/>
          <w:szCs w:val="20"/>
        </w:rPr>
        <w:t xml:space="preserve">§ 11 ust. 1 pkt. 18) otrzymuje brzmienie: </w:t>
      </w:r>
    </w:p>
    <w:p w14:paraId="2F7B8BF4" w14:textId="5565D041" w:rsidR="00351572" w:rsidRPr="00351572" w:rsidRDefault="002528CF" w:rsidP="00351572">
      <w:pPr>
        <w:autoSpaceDE w:val="0"/>
        <w:autoSpaceDN w:val="0"/>
        <w:adjustRightInd w:val="0"/>
        <w:spacing w:after="0" w:line="276" w:lineRule="auto"/>
        <w:ind w:left="708" w:firstLine="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„</w:t>
      </w:r>
      <w:r w:rsidR="00351572" w:rsidRPr="00351572">
        <w:rPr>
          <w:rFonts w:ascii="Arial" w:hAnsi="Arial" w:cs="Arial"/>
          <w:color w:val="000000" w:themeColor="text1"/>
          <w:sz w:val="20"/>
          <w:szCs w:val="20"/>
        </w:rPr>
        <w:t xml:space="preserve">18) </w:t>
      </w:r>
      <w:r w:rsidR="00351572" w:rsidRPr="00351572">
        <w:rPr>
          <w:rFonts w:ascii="Arial" w:hAnsi="Arial" w:cs="Arial"/>
          <w:b/>
          <w:bCs/>
          <w:sz w:val="20"/>
          <w:szCs w:val="20"/>
        </w:rPr>
        <w:t xml:space="preserve">Opcja Dodatkowa D18 </w:t>
      </w:r>
      <w:r w:rsidR="00351572" w:rsidRPr="00351572">
        <w:rPr>
          <w:rFonts w:ascii="Arial" w:hAnsi="Arial" w:cs="Arial"/>
          <w:sz w:val="20"/>
          <w:szCs w:val="20"/>
        </w:rPr>
        <w:t xml:space="preserve">– </w:t>
      </w:r>
      <w:r w:rsidR="00351572" w:rsidRPr="00351572">
        <w:rPr>
          <w:rFonts w:ascii="Arial" w:hAnsi="Arial" w:cs="Arial"/>
          <w:b/>
          <w:bCs/>
          <w:sz w:val="20"/>
          <w:szCs w:val="20"/>
        </w:rPr>
        <w:t xml:space="preserve">koszty leków </w:t>
      </w:r>
      <w:r w:rsidR="00351572" w:rsidRPr="00351572">
        <w:rPr>
          <w:rFonts w:ascii="Arial" w:hAnsi="Arial" w:cs="Arial"/>
          <w:sz w:val="20"/>
          <w:szCs w:val="20"/>
        </w:rPr>
        <w:t>– jednorazowy zwrot udokumentowanych kosztów poniesionych na leki na terenie Rzeczpospolitej Polskiej do kwoty 500 zł. Zwrot kosztów następuje wyłącznie jeżeli:</w:t>
      </w:r>
    </w:p>
    <w:p w14:paraId="31B4D7DF" w14:textId="77777777" w:rsidR="00351572" w:rsidRPr="00351572" w:rsidRDefault="00351572" w:rsidP="00351572">
      <w:pPr>
        <w:autoSpaceDE w:val="0"/>
        <w:autoSpaceDN w:val="0"/>
        <w:adjustRightInd w:val="0"/>
        <w:spacing w:after="0" w:line="276" w:lineRule="auto"/>
        <w:ind w:firstLine="708"/>
        <w:rPr>
          <w:rFonts w:ascii="Arial" w:hAnsi="Arial" w:cs="Arial"/>
          <w:sz w:val="20"/>
          <w:szCs w:val="20"/>
        </w:rPr>
      </w:pPr>
      <w:r w:rsidRPr="00351572">
        <w:rPr>
          <w:rFonts w:ascii="Arial" w:hAnsi="Arial" w:cs="Arial"/>
          <w:sz w:val="20"/>
          <w:szCs w:val="20"/>
        </w:rPr>
        <w:t>a) nieszczęśliwy wypadek skutkował co najmniej dwudniowym pobytem w szpitalu,</w:t>
      </w:r>
    </w:p>
    <w:p w14:paraId="01CA63C0" w14:textId="77777777" w:rsidR="00351572" w:rsidRPr="00351572" w:rsidRDefault="00351572" w:rsidP="0035157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351572">
        <w:rPr>
          <w:rFonts w:ascii="Arial" w:hAnsi="Arial" w:cs="Arial"/>
          <w:sz w:val="20"/>
          <w:szCs w:val="20"/>
        </w:rPr>
        <w:tab/>
        <w:t>b) leki zostały przepisane przez lekarza prowadzącego leczenie szpitalne,</w:t>
      </w:r>
    </w:p>
    <w:p w14:paraId="2800CB81" w14:textId="3DF32714" w:rsidR="00351572" w:rsidRDefault="00351572" w:rsidP="00533A47">
      <w:pPr>
        <w:autoSpaceDE w:val="0"/>
        <w:autoSpaceDN w:val="0"/>
        <w:spacing w:after="0" w:line="276" w:lineRule="auto"/>
        <w:ind w:left="720"/>
        <w:rPr>
          <w:rFonts w:ascii="Arial" w:hAnsi="Arial" w:cs="Arial"/>
          <w:sz w:val="20"/>
          <w:szCs w:val="20"/>
          <w:lang w:eastAsia="pl-PL"/>
        </w:rPr>
      </w:pPr>
      <w:r w:rsidRPr="00351572">
        <w:rPr>
          <w:rFonts w:ascii="Arial" w:hAnsi="Arial" w:cs="Arial"/>
          <w:sz w:val="20"/>
          <w:szCs w:val="20"/>
          <w:lang w:eastAsia="pl-PL"/>
        </w:rPr>
        <w:t>c) nieszczęśliwy wypadek wydarzył się podczas trwania ochrony ubezpieczeniowej</w:t>
      </w:r>
    </w:p>
    <w:p w14:paraId="342EFF76" w14:textId="77777777" w:rsidR="002528CF" w:rsidRDefault="002528CF" w:rsidP="00533A47">
      <w:pPr>
        <w:autoSpaceDE w:val="0"/>
        <w:autoSpaceDN w:val="0"/>
        <w:spacing w:after="0" w:line="276" w:lineRule="auto"/>
        <w:ind w:left="720"/>
        <w:rPr>
          <w:rFonts w:ascii="Arial" w:hAnsi="Arial" w:cs="Arial"/>
          <w:color w:val="000000" w:themeColor="text1"/>
          <w:sz w:val="20"/>
          <w:szCs w:val="20"/>
        </w:rPr>
      </w:pPr>
    </w:p>
    <w:p w14:paraId="3B94F6E6" w14:textId="195D3682" w:rsidR="00666F05" w:rsidRDefault="00466FF9" w:rsidP="00466FF9">
      <w:pPr>
        <w:pStyle w:val="Akapitzlist"/>
        <w:numPr>
          <w:ilvl w:val="0"/>
          <w:numId w:val="1"/>
        </w:numPr>
        <w:spacing w:before="60" w:after="6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41017">
        <w:rPr>
          <w:rFonts w:ascii="Arial" w:hAnsi="Arial" w:cs="Arial"/>
          <w:color w:val="000000" w:themeColor="text1"/>
          <w:sz w:val="20"/>
          <w:szCs w:val="20"/>
        </w:rPr>
        <w:t xml:space="preserve">„§ 21 ust. 3 pkt. </w:t>
      </w:r>
      <w:r w:rsidR="00351572">
        <w:rPr>
          <w:rFonts w:ascii="Arial" w:hAnsi="Arial" w:cs="Arial"/>
          <w:color w:val="000000" w:themeColor="text1"/>
          <w:sz w:val="20"/>
          <w:szCs w:val="20"/>
        </w:rPr>
        <w:t>12</w:t>
      </w:r>
      <w:r w:rsidR="00666F05">
        <w:rPr>
          <w:rFonts w:ascii="Arial" w:hAnsi="Arial" w:cs="Arial"/>
          <w:color w:val="000000" w:themeColor="text1"/>
          <w:sz w:val="20"/>
          <w:szCs w:val="20"/>
        </w:rPr>
        <w:t>) otrzymuje brzmienie:</w:t>
      </w:r>
    </w:p>
    <w:p w14:paraId="7C54A5C6" w14:textId="431DAEC9" w:rsidR="00D41017" w:rsidRDefault="00666F05" w:rsidP="00D41017">
      <w:pPr>
        <w:pStyle w:val="Akapitzlist"/>
        <w:spacing w:before="60" w:after="6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„</w:t>
      </w:r>
      <w:r w:rsidR="002528CF">
        <w:rPr>
          <w:rFonts w:ascii="Arial" w:hAnsi="Arial" w:cs="Arial"/>
          <w:color w:val="000000" w:themeColor="text1"/>
          <w:sz w:val="20"/>
          <w:szCs w:val="20"/>
        </w:rPr>
        <w:t>12</w:t>
      </w:r>
      <w:r>
        <w:rPr>
          <w:rFonts w:ascii="Arial" w:hAnsi="Arial" w:cs="Arial"/>
          <w:color w:val="000000" w:themeColor="text1"/>
          <w:sz w:val="20"/>
          <w:szCs w:val="20"/>
        </w:rPr>
        <w:t>)</w:t>
      </w:r>
      <w:r w:rsidR="00466FF9" w:rsidRPr="00D41017">
        <w:rPr>
          <w:rFonts w:ascii="Arial" w:hAnsi="Arial" w:cs="Arial"/>
          <w:color w:val="000000" w:themeColor="text1"/>
          <w:sz w:val="20"/>
          <w:szCs w:val="20"/>
        </w:rPr>
        <w:t xml:space="preserve">  w przypadku pogryzienia przez psa, pokąsania, ukąszenia/użądlenia – dokumentację medyczną z leczenia;”</w:t>
      </w:r>
      <w:bookmarkEnd w:id="0"/>
    </w:p>
    <w:p w14:paraId="64C728CA" w14:textId="4774AA12" w:rsidR="003958E6" w:rsidRDefault="003958E6" w:rsidP="00D41017">
      <w:pPr>
        <w:pStyle w:val="Akapitzlist"/>
        <w:spacing w:before="60" w:after="6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1AD4276" w14:textId="2412BD15" w:rsidR="003958E6" w:rsidRDefault="003958E6" w:rsidP="003958E6">
      <w:pPr>
        <w:pStyle w:val="Akapitzlist"/>
        <w:numPr>
          <w:ilvl w:val="0"/>
          <w:numId w:val="1"/>
        </w:numPr>
        <w:spacing w:before="60" w:after="6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lastRenderedPageBreak/>
        <w:t>w § 11 ust. 1 s</w:t>
      </w:r>
      <w:r w:rsidRPr="00D41017">
        <w:rPr>
          <w:rFonts w:ascii="Arial" w:hAnsi="Arial" w:cs="Arial"/>
          <w:color w:val="000000" w:themeColor="text1"/>
          <w:sz w:val="20"/>
          <w:szCs w:val="20"/>
        </w:rPr>
        <w:t>kreśla się pkt. 6)</w:t>
      </w:r>
    </w:p>
    <w:p w14:paraId="7DEC9429" w14:textId="77777777" w:rsidR="008B57CC" w:rsidRDefault="008B57CC" w:rsidP="008B57CC">
      <w:pPr>
        <w:pStyle w:val="Akapitzlist"/>
        <w:spacing w:before="60" w:after="6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6BEE3FC" w14:textId="0BAFA53A" w:rsidR="008B57CC" w:rsidRPr="00FC46F0" w:rsidRDefault="008B57CC" w:rsidP="0050036F">
      <w:pPr>
        <w:pStyle w:val="Akapitzlist"/>
        <w:numPr>
          <w:ilvl w:val="0"/>
          <w:numId w:val="1"/>
        </w:numPr>
        <w:spacing w:before="60" w:after="6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C46F0">
        <w:rPr>
          <w:rFonts w:ascii="Arial" w:hAnsi="Arial" w:cs="Arial"/>
          <w:sz w:val="20"/>
          <w:szCs w:val="20"/>
        </w:rPr>
        <w:t xml:space="preserve">W przypadku umów zawieranych na okres dwóch lat </w:t>
      </w:r>
      <w:r w:rsidR="00FC46F0" w:rsidRPr="00FC46F0">
        <w:rPr>
          <w:rFonts w:ascii="Arial" w:hAnsi="Arial" w:cs="Arial"/>
          <w:sz w:val="20"/>
          <w:szCs w:val="20"/>
        </w:rPr>
        <w:t xml:space="preserve">( umowy dwuletnie) </w:t>
      </w:r>
      <w:r w:rsidRPr="00FC46F0">
        <w:rPr>
          <w:rFonts w:ascii="Arial" w:hAnsi="Arial" w:cs="Arial"/>
          <w:sz w:val="20"/>
          <w:szCs w:val="20"/>
        </w:rPr>
        <w:t xml:space="preserve">wzrost świadczenia </w:t>
      </w:r>
      <w:r w:rsidR="00FC46F0" w:rsidRPr="00FC46F0">
        <w:rPr>
          <w:rFonts w:ascii="Arial" w:hAnsi="Arial" w:cs="Arial"/>
          <w:sz w:val="20"/>
          <w:szCs w:val="20"/>
        </w:rPr>
        <w:t xml:space="preserve">o 10% </w:t>
      </w:r>
      <w:r w:rsidRPr="00FC46F0">
        <w:rPr>
          <w:rFonts w:ascii="Arial" w:hAnsi="Arial" w:cs="Arial"/>
          <w:sz w:val="20"/>
          <w:szCs w:val="20"/>
        </w:rPr>
        <w:t>z tytułu trwałego uszczerbku na zdrowiu</w:t>
      </w:r>
      <w:r w:rsidR="00FC46F0" w:rsidRPr="00FC46F0">
        <w:rPr>
          <w:rFonts w:ascii="Arial" w:hAnsi="Arial" w:cs="Arial"/>
          <w:sz w:val="20"/>
          <w:szCs w:val="20"/>
        </w:rPr>
        <w:t xml:space="preserve">. </w:t>
      </w:r>
    </w:p>
    <w:p w14:paraId="12AF7696" w14:textId="77777777" w:rsidR="00FC46F0" w:rsidRPr="00FC46F0" w:rsidRDefault="00FC46F0" w:rsidP="00FC46F0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</w:p>
    <w:p w14:paraId="6C62504C" w14:textId="4AC349A2" w:rsidR="00FC46F0" w:rsidRPr="003604E3" w:rsidRDefault="00FC46F0" w:rsidP="003604E3">
      <w:pPr>
        <w:spacing w:before="60" w:after="6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sectPr w:rsidR="00FC46F0" w:rsidRPr="00360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81E5E" w14:textId="77777777" w:rsidR="00583BE8" w:rsidRDefault="00583BE8" w:rsidP="00E201A6">
      <w:pPr>
        <w:spacing w:after="0" w:line="240" w:lineRule="auto"/>
      </w:pPr>
      <w:r>
        <w:separator/>
      </w:r>
    </w:p>
  </w:endnote>
  <w:endnote w:type="continuationSeparator" w:id="0">
    <w:p w14:paraId="08506EC1" w14:textId="77777777" w:rsidR="00583BE8" w:rsidRDefault="00583BE8" w:rsidP="00E20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FF5B0" w14:textId="77777777" w:rsidR="00583BE8" w:rsidRDefault="00583BE8" w:rsidP="00E201A6">
      <w:pPr>
        <w:spacing w:after="0" w:line="240" w:lineRule="auto"/>
      </w:pPr>
      <w:r>
        <w:separator/>
      </w:r>
    </w:p>
  </w:footnote>
  <w:footnote w:type="continuationSeparator" w:id="0">
    <w:p w14:paraId="0EA0C8A6" w14:textId="77777777" w:rsidR="00583BE8" w:rsidRDefault="00583BE8" w:rsidP="00E20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79E8"/>
    <w:multiLevelType w:val="hybridMultilevel"/>
    <w:tmpl w:val="2BDE63D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36F7867"/>
    <w:multiLevelType w:val="hybridMultilevel"/>
    <w:tmpl w:val="89D8A0B6"/>
    <w:lvl w:ilvl="0" w:tplc="BD18EA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2F7CC1"/>
    <w:multiLevelType w:val="hybridMultilevel"/>
    <w:tmpl w:val="95B602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A57F7"/>
    <w:multiLevelType w:val="hybridMultilevel"/>
    <w:tmpl w:val="89D8A0B6"/>
    <w:lvl w:ilvl="0" w:tplc="BD18EA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3751CA"/>
    <w:multiLevelType w:val="hybridMultilevel"/>
    <w:tmpl w:val="C9A2004A"/>
    <w:lvl w:ilvl="0" w:tplc="48FC5DD2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1B61F07"/>
    <w:multiLevelType w:val="hybridMultilevel"/>
    <w:tmpl w:val="82F2DBA8"/>
    <w:lvl w:ilvl="0" w:tplc="AE206D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303DAA"/>
    <w:multiLevelType w:val="hybridMultilevel"/>
    <w:tmpl w:val="738058D0"/>
    <w:lvl w:ilvl="0" w:tplc="705029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D4C33C4"/>
    <w:multiLevelType w:val="hybridMultilevel"/>
    <w:tmpl w:val="6632F53E"/>
    <w:lvl w:ilvl="0" w:tplc="E258E8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EE3F4D"/>
    <w:multiLevelType w:val="singleLevel"/>
    <w:tmpl w:val="73A857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27CE5672"/>
    <w:multiLevelType w:val="hybridMultilevel"/>
    <w:tmpl w:val="DAD47510"/>
    <w:lvl w:ilvl="0" w:tplc="02D4CEB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CF358E"/>
    <w:multiLevelType w:val="hybridMultilevel"/>
    <w:tmpl w:val="0B0058B6"/>
    <w:lvl w:ilvl="0" w:tplc="705029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5D731F7"/>
    <w:multiLevelType w:val="hybridMultilevel"/>
    <w:tmpl w:val="87BCBC9C"/>
    <w:lvl w:ilvl="0" w:tplc="179C0D2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382750"/>
    <w:multiLevelType w:val="hybridMultilevel"/>
    <w:tmpl w:val="DCBA6712"/>
    <w:lvl w:ilvl="0" w:tplc="7E9248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81E286A"/>
    <w:multiLevelType w:val="hybridMultilevel"/>
    <w:tmpl w:val="623E6F06"/>
    <w:lvl w:ilvl="0" w:tplc="7D746C04">
      <w:start w:val="5"/>
      <w:numFmt w:val="decimal"/>
      <w:lvlText w:val="%1)"/>
      <w:lvlJc w:val="left"/>
      <w:pPr>
        <w:tabs>
          <w:tab w:val="num" w:pos="2242"/>
        </w:tabs>
        <w:ind w:left="224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A14E9"/>
    <w:multiLevelType w:val="hybridMultilevel"/>
    <w:tmpl w:val="4FA26928"/>
    <w:lvl w:ilvl="0" w:tplc="29C01D2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9A6506F"/>
    <w:multiLevelType w:val="hybridMultilevel"/>
    <w:tmpl w:val="DEC837E6"/>
    <w:lvl w:ilvl="0" w:tplc="705029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AC83CDD"/>
    <w:multiLevelType w:val="hybridMultilevel"/>
    <w:tmpl w:val="B556159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2934177"/>
    <w:multiLevelType w:val="hybridMultilevel"/>
    <w:tmpl w:val="8B0CECFE"/>
    <w:lvl w:ilvl="0" w:tplc="7E9248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56129F3"/>
    <w:multiLevelType w:val="hybridMultilevel"/>
    <w:tmpl w:val="104817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E93CF0"/>
    <w:multiLevelType w:val="hybridMultilevel"/>
    <w:tmpl w:val="A1C480B6"/>
    <w:lvl w:ilvl="0" w:tplc="705029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58074550"/>
    <w:multiLevelType w:val="hybridMultilevel"/>
    <w:tmpl w:val="4734236E"/>
    <w:lvl w:ilvl="0" w:tplc="BA78457E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5CB67898"/>
    <w:multiLevelType w:val="hybridMultilevel"/>
    <w:tmpl w:val="611AA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567CF0"/>
    <w:multiLevelType w:val="hybridMultilevel"/>
    <w:tmpl w:val="BA12BC2C"/>
    <w:lvl w:ilvl="0" w:tplc="7E9248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0DF1B37"/>
    <w:multiLevelType w:val="hybridMultilevel"/>
    <w:tmpl w:val="D7080A7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17472C6"/>
    <w:multiLevelType w:val="singleLevel"/>
    <w:tmpl w:val="1FC2E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21F0961"/>
    <w:multiLevelType w:val="hybridMultilevel"/>
    <w:tmpl w:val="912A8E3C"/>
    <w:lvl w:ilvl="0" w:tplc="E01AC03E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E3A7A77"/>
    <w:multiLevelType w:val="hybridMultilevel"/>
    <w:tmpl w:val="1B02A3D0"/>
    <w:lvl w:ilvl="0" w:tplc="09F09A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9735BF"/>
    <w:multiLevelType w:val="hybridMultilevel"/>
    <w:tmpl w:val="C46C0436"/>
    <w:lvl w:ilvl="0" w:tplc="28ACC47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6E15FB5"/>
    <w:multiLevelType w:val="hybridMultilevel"/>
    <w:tmpl w:val="BAE8D040"/>
    <w:lvl w:ilvl="0" w:tplc="7E9248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4"/>
  </w:num>
  <w:num w:numId="3">
    <w:abstractNumId w:val="15"/>
  </w:num>
  <w:num w:numId="4">
    <w:abstractNumId w:val="20"/>
  </w:num>
  <w:num w:numId="5">
    <w:abstractNumId w:val="10"/>
  </w:num>
  <w:num w:numId="6">
    <w:abstractNumId w:val="19"/>
  </w:num>
  <w:num w:numId="7">
    <w:abstractNumId w:val="11"/>
  </w:num>
  <w:num w:numId="8">
    <w:abstractNumId w:val="25"/>
  </w:num>
  <w:num w:numId="9">
    <w:abstractNumId w:val="26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5"/>
  </w:num>
  <w:num w:numId="19">
    <w:abstractNumId w:val="6"/>
  </w:num>
  <w:num w:numId="20">
    <w:abstractNumId w:val="21"/>
  </w:num>
  <w:num w:numId="21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2"/>
  </w:num>
  <w:num w:numId="24">
    <w:abstractNumId w:val="3"/>
  </w:num>
  <w:num w:numId="25">
    <w:abstractNumId w:val="1"/>
  </w:num>
  <w:num w:numId="26">
    <w:abstractNumId w:val="14"/>
  </w:num>
  <w:num w:numId="27">
    <w:abstractNumId w:val="23"/>
  </w:num>
  <w:num w:numId="28">
    <w:abstractNumId w:val="0"/>
  </w:num>
  <w:num w:numId="29">
    <w:abstractNumId w:val="18"/>
  </w:num>
  <w:num w:numId="30">
    <w:abstractNumId w:val="27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39F"/>
    <w:rsid w:val="001307E4"/>
    <w:rsid w:val="001463B1"/>
    <w:rsid w:val="001569F7"/>
    <w:rsid w:val="001573E6"/>
    <w:rsid w:val="00181839"/>
    <w:rsid w:val="001A0FA9"/>
    <w:rsid w:val="001A5DFE"/>
    <w:rsid w:val="001E655A"/>
    <w:rsid w:val="001F6637"/>
    <w:rsid w:val="00200770"/>
    <w:rsid w:val="00243660"/>
    <w:rsid w:val="002442B8"/>
    <w:rsid w:val="002528CF"/>
    <w:rsid w:val="0026405A"/>
    <w:rsid w:val="002C352F"/>
    <w:rsid w:val="002E35CC"/>
    <w:rsid w:val="00351572"/>
    <w:rsid w:val="00353C49"/>
    <w:rsid w:val="003604E3"/>
    <w:rsid w:val="00363079"/>
    <w:rsid w:val="003634F1"/>
    <w:rsid w:val="003958E6"/>
    <w:rsid w:val="003B71F5"/>
    <w:rsid w:val="003B7B7D"/>
    <w:rsid w:val="00417612"/>
    <w:rsid w:val="0042003F"/>
    <w:rsid w:val="00422F51"/>
    <w:rsid w:val="00424C5B"/>
    <w:rsid w:val="00425E15"/>
    <w:rsid w:val="00446FA2"/>
    <w:rsid w:val="004568D2"/>
    <w:rsid w:val="00457AFA"/>
    <w:rsid w:val="00466FF9"/>
    <w:rsid w:val="004679C0"/>
    <w:rsid w:val="00475DE8"/>
    <w:rsid w:val="0048682B"/>
    <w:rsid w:val="00494035"/>
    <w:rsid w:val="0049602E"/>
    <w:rsid w:val="004A3A70"/>
    <w:rsid w:val="004A4205"/>
    <w:rsid w:val="004D2B5A"/>
    <w:rsid w:val="004D6E7F"/>
    <w:rsid w:val="0050036F"/>
    <w:rsid w:val="00523703"/>
    <w:rsid w:val="00524838"/>
    <w:rsid w:val="00533A47"/>
    <w:rsid w:val="0056497B"/>
    <w:rsid w:val="00581DD5"/>
    <w:rsid w:val="00583BE8"/>
    <w:rsid w:val="005A4655"/>
    <w:rsid w:val="005A4952"/>
    <w:rsid w:val="005B1DA6"/>
    <w:rsid w:val="005C0F87"/>
    <w:rsid w:val="005C69B9"/>
    <w:rsid w:val="005E4473"/>
    <w:rsid w:val="005E6268"/>
    <w:rsid w:val="005F6EB8"/>
    <w:rsid w:val="00615643"/>
    <w:rsid w:val="006468AA"/>
    <w:rsid w:val="006572C3"/>
    <w:rsid w:val="00666F05"/>
    <w:rsid w:val="0067130E"/>
    <w:rsid w:val="00674B4C"/>
    <w:rsid w:val="006A62E4"/>
    <w:rsid w:val="006D60E6"/>
    <w:rsid w:val="006D7965"/>
    <w:rsid w:val="00712678"/>
    <w:rsid w:val="0072733C"/>
    <w:rsid w:val="0073465E"/>
    <w:rsid w:val="00737CCE"/>
    <w:rsid w:val="00755BCA"/>
    <w:rsid w:val="00756DD5"/>
    <w:rsid w:val="007A73C6"/>
    <w:rsid w:val="007D0C0E"/>
    <w:rsid w:val="007F0436"/>
    <w:rsid w:val="00801042"/>
    <w:rsid w:val="00824460"/>
    <w:rsid w:val="00832460"/>
    <w:rsid w:val="008976C7"/>
    <w:rsid w:val="008A18C4"/>
    <w:rsid w:val="008B28EC"/>
    <w:rsid w:val="008B57CC"/>
    <w:rsid w:val="00903828"/>
    <w:rsid w:val="0093200B"/>
    <w:rsid w:val="00951A69"/>
    <w:rsid w:val="0095287A"/>
    <w:rsid w:val="009560B2"/>
    <w:rsid w:val="00994D28"/>
    <w:rsid w:val="009C6C00"/>
    <w:rsid w:val="009D01D2"/>
    <w:rsid w:val="009D6B3F"/>
    <w:rsid w:val="009D7E1A"/>
    <w:rsid w:val="00A12960"/>
    <w:rsid w:val="00A162BE"/>
    <w:rsid w:val="00A27BF9"/>
    <w:rsid w:val="00A50808"/>
    <w:rsid w:val="00A6760A"/>
    <w:rsid w:val="00A7640B"/>
    <w:rsid w:val="00A85317"/>
    <w:rsid w:val="00A8560B"/>
    <w:rsid w:val="00AB3F8C"/>
    <w:rsid w:val="00B02B63"/>
    <w:rsid w:val="00B21FB8"/>
    <w:rsid w:val="00B93530"/>
    <w:rsid w:val="00BA4786"/>
    <w:rsid w:val="00BA4D3B"/>
    <w:rsid w:val="00BD3233"/>
    <w:rsid w:val="00BE4BF9"/>
    <w:rsid w:val="00BE4CF8"/>
    <w:rsid w:val="00C003D8"/>
    <w:rsid w:val="00C06B40"/>
    <w:rsid w:val="00C16F0F"/>
    <w:rsid w:val="00C3643E"/>
    <w:rsid w:val="00C374E6"/>
    <w:rsid w:val="00C40035"/>
    <w:rsid w:val="00C610AA"/>
    <w:rsid w:val="00C61594"/>
    <w:rsid w:val="00CC5159"/>
    <w:rsid w:val="00D41017"/>
    <w:rsid w:val="00D57016"/>
    <w:rsid w:val="00D75D97"/>
    <w:rsid w:val="00D8420D"/>
    <w:rsid w:val="00D879BB"/>
    <w:rsid w:val="00DC2FDC"/>
    <w:rsid w:val="00E01964"/>
    <w:rsid w:val="00E04EAC"/>
    <w:rsid w:val="00E201A6"/>
    <w:rsid w:val="00ED2F6D"/>
    <w:rsid w:val="00ED4B0E"/>
    <w:rsid w:val="00ED5B98"/>
    <w:rsid w:val="00ED6074"/>
    <w:rsid w:val="00F00B11"/>
    <w:rsid w:val="00F30479"/>
    <w:rsid w:val="00F353BE"/>
    <w:rsid w:val="00F57FBB"/>
    <w:rsid w:val="00F80510"/>
    <w:rsid w:val="00FB0B19"/>
    <w:rsid w:val="00FC46F0"/>
    <w:rsid w:val="00FD439F"/>
    <w:rsid w:val="00FE1854"/>
    <w:rsid w:val="00FF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F2A36"/>
  <w15:docId w15:val="{603E6382-8AEE-4A12-9D8A-24B58831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ordsection1">
    <w:name w:val="wordsection1"/>
    <w:basedOn w:val="Normalny"/>
    <w:uiPriority w:val="99"/>
    <w:rsid w:val="00FD439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01A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01A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01A6"/>
    <w:rPr>
      <w:vertAlign w:val="superscript"/>
    </w:rPr>
  </w:style>
  <w:style w:type="character" w:styleId="Uwydatnienie">
    <w:name w:val="Emphasis"/>
    <w:uiPriority w:val="20"/>
    <w:qFormat/>
    <w:rsid w:val="00756DD5"/>
    <w:rPr>
      <w:b/>
      <w:i/>
      <w:spacing w:val="10"/>
    </w:rPr>
  </w:style>
  <w:style w:type="paragraph" w:styleId="Akapitzlist">
    <w:name w:val="List Paragraph"/>
    <w:basedOn w:val="Normalny"/>
    <w:uiPriority w:val="34"/>
    <w:qFormat/>
    <w:rsid w:val="00903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971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Nowicka</dc:creator>
  <cp:keywords/>
  <dc:description/>
  <cp:lastModifiedBy>Edyta Nowicka</cp:lastModifiedBy>
  <cp:revision>2</cp:revision>
  <dcterms:created xsi:type="dcterms:W3CDTF">2021-05-27T17:01:00Z</dcterms:created>
  <dcterms:modified xsi:type="dcterms:W3CDTF">2021-05-27T17:01:00Z</dcterms:modified>
</cp:coreProperties>
</file>